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BDE4" w14:textId="57CDB93C" w:rsidR="00DC67C1" w:rsidRPr="0099483B" w:rsidRDefault="00187209" w:rsidP="00234567">
      <w:pPr>
        <w:pStyle w:val="Title"/>
        <w:spacing w:after="40" w:line="264" w:lineRule="auto"/>
        <w:contextualSpacing w:val="0"/>
        <w:jc w:val="center"/>
        <w:rPr>
          <w:rFonts w:cs="Arial"/>
          <w:lang w:val="en-NZ"/>
        </w:rPr>
      </w:pPr>
      <w:r>
        <w:rPr>
          <w:rFonts w:cs="Arial"/>
          <w:lang w:val="en-US"/>
        </w:rPr>
        <w:t>Historical t</w:t>
      </w:r>
      <w:r w:rsidR="0099483B">
        <w:rPr>
          <w:rFonts w:cs="Arial"/>
          <w:lang w:val="en-US"/>
        </w:rPr>
        <w:t>rauma and</w:t>
      </w:r>
      <w:r w:rsidR="0099483B" w:rsidRPr="0099483B">
        <w:rPr>
          <w:rFonts w:cs="Arial"/>
          <w:lang w:val="en-US"/>
        </w:rPr>
        <w:t xml:space="preserve"> </w:t>
      </w:r>
      <w:r>
        <w:rPr>
          <w:rFonts w:cs="Arial"/>
          <w:lang w:val="en-US"/>
        </w:rPr>
        <w:t>w</w:t>
      </w:r>
      <w:r w:rsidR="0099483B" w:rsidRPr="0099483B">
        <w:rPr>
          <w:rFonts w:cs="Arial"/>
          <w:lang w:val="en-US"/>
        </w:rPr>
        <w:t>h</w:t>
      </w:r>
      <w:r>
        <w:rPr>
          <w:rFonts w:cs="Arial"/>
          <w:lang w:val="en-US"/>
        </w:rPr>
        <w:t>ānau v</w:t>
      </w:r>
      <w:r w:rsidR="0099483B" w:rsidRPr="0099483B">
        <w:rPr>
          <w:rFonts w:cs="Arial"/>
          <w:lang w:val="en-US"/>
        </w:rPr>
        <w:t>iolence</w:t>
      </w:r>
    </w:p>
    <w:p w14:paraId="44CCED13" w14:textId="71090085" w:rsidR="0099483B" w:rsidRDefault="0099483B" w:rsidP="0099483B">
      <w:pPr>
        <w:spacing w:after="80" w:line="264" w:lineRule="auto"/>
        <w:jc w:val="center"/>
        <w:rPr>
          <w:sz w:val="24"/>
        </w:rPr>
      </w:pPr>
      <w:r>
        <w:rPr>
          <w:sz w:val="28"/>
          <w:szCs w:val="26"/>
        </w:rPr>
        <w:t>Leonie Pihama,</w:t>
      </w:r>
      <w:r w:rsidRPr="0099483B">
        <w:rPr>
          <w:sz w:val="28"/>
          <w:szCs w:val="26"/>
          <w:vertAlign w:val="superscript"/>
        </w:rPr>
        <w:t>1</w:t>
      </w:r>
      <w:r>
        <w:rPr>
          <w:sz w:val="28"/>
          <w:szCs w:val="26"/>
        </w:rPr>
        <w:t xml:space="preserve"> Ngaropi Cameron,</w:t>
      </w:r>
      <w:r w:rsidRPr="0099483B">
        <w:rPr>
          <w:sz w:val="28"/>
          <w:szCs w:val="26"/>
          <w:vertAlign w:val="superscript"/>
        </w:rPr>
        <w:t>2</w:t>
      </w:r>
      <w:r>
        <w:rPr>
          <w:sz w:val="28"/>
          <w:szCs w:val="26"/>
        </w:rPr>
        <w:t xml:space="preserve"> Rihi Te Nana</w:t>
      </w:r>
      <w:r w:rsidRPr="0099483B">
        <w:rPr>
          <w:sz w:val="28"/>
          <w:szCs w:val="26"/>
          <w:vertAlign w:val="superscript"/>
        </w:rPr>
        <w:t>3</w:t>
      </w:r>
    </w:p>
    <w:p w14:paraId="5C33CE9D" w14:textId="0165EDC6" w:rsidR="00502529" w:rsidRDefault="00234567" w:rsidP="0099483B">
      <w:pPr>
        <w:jc w:val="center"/>
        <w:rPr>
          <w:rFonts w:cs="Arial"/>
          <w:noProof/>
          <w:lang w:eastAsia="en-NZ"/>
        </w:rPr>
      </w:pPr>
      <w:r w:rsidRPr="002737FF">
        <w:rPr>
          <w:rFonts w:cs="Arial"/>
          <w:noProof/>
          <w:lang w:eastAsia="en-NZ"/>
        </w:rPr>
        <mc:AlternateContent>
          <mc:Choice Requires="wps">
            <w:drawing>
              <wp:anchor distT="0" distB="0" distL="114300" distR="114300" simplePos="0" relativeHeight="251648000" behindDoc="0" locked="0" layoutInCell="1" allowOverlap="1" wp14:anchorId="1BBBC767" wp14:editId="73E22364">
                <wp:simplePos x="0" y="0"/>
                <wp:positionH relativeFrom="column">
                  <wp:posOffset>-19685</wp:posOffset>
                </wp:positionH>
                <wp:positionV relativeFrom="paragraph">
                  <wp:posOffset>436880</wp:posOffset>
                </wp:positionV>
                <wp:extent cx="6236970" cy="7172325"/>
                <wp:effectExtent l="0" t="0" r="26670" b="28575"/>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7172325"/>
                        </a:xfrm>
                        <a:prstGeom prst="rect">
                          <a:avLst/>
                        </a:prstGeom>
                        <a:solidFill>
                          <a:srgbClr val="DBE5F1">
                            <a:alpha val="34000"/>
                          </a:srgbClr>
                        </a:solidFill>
                        <a:ln w="9525">
                          <a:solidFill>
                            <a:srgbClr val="4F81BD"/>
                          </a:solidFill>
                          <a:miter lim="800000"/>
                          <a:headEnd/>
                          <a:tailEnd/>
                        </a:ln>
                      </wps:spPr>
                      <wps:txbx>
                        <w:txbxContent>
                          <w:p w14:paraId="4E6158E2" w14:textId="77777777" w:rsidR="004B02AC" w:rsidRPr="003C32F2" w:rsidRDefault="004B02AC" w:rsidP="00234567">
                            <w:pPr>
                              <w:spacing w:after="0" w:line="276" w:lineRule="auto"/>
                              <w:rPr>
                                <w:b/>
                                <w:color w:val="17365D"/>
                                <w:sz w:val="28"/>
                                <w:szCs w:val="21"/>
                              </w:rPr>
                            </w:pPr>
                            <w:r w:rsidRPr="003C32F2">
                              <w:rPr>
                                <w:b/>
                                <w:color w:val="17365D"/>
                                <w:sz w:val="28"/>
                                <w:szCs w:val="21"/>
                              </w:rPr>
                              <w:t>Key Messages</w:t>
                            </w:r>
                          </w:p>
                          <w:p w14:paraId="300D0655"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Prior to colonisation Māori people lived within whānau, hapū and iwi collectives that supported wellbeing, with whānau as the primary source of support within Māori society.</w:t>
                            </w:r>
                          </w:p>
                          <w:p w14:paraId="7EB8B55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Traditional knowledge forms within tikanga, te reo and mātauranga Māori provide clear guidance for wellbeing and appropriate behaviours within relationships.</w:t>
                            </w:r>
                          </w:p>
                          <w:p w14:paraId="0F125308" w14:textId="2CCAD4A9" w:rsidR="004B02AC" w:rsidRPr="0099483B" w:rsidRDefault="004B02AC" w:rsidP="003C32F2">
                            <w:pPr>
                              <w:numPr>
                                <w:ilvl w:val="0"/>
                                <w:numId w:val="9"/>
                              </w:numPr>
                              <w:spacing w:after="60" w:line="276" w:lineRule="auto"/>
                              <w:jc w:val="both"/>
                              <w:rPr>
                                <w:sz w:val="21"/>
                                <w:szCs w:val="21"/>
                              </w:rPr>
                            </w:pPr>
                            <w:r w:rsidRPr="0099483B">
                              <w:rPr>
                                <w:sz w:val="21"/>
                                <w:szCs w:val="21"/>
                              </w:rPr>
                              <w:t>It is well documented that acts of whānau violence were not accepted by our ancestors</w:t>
                            </w:r>
                            <w:r>
                              <w:rPr>
                                <w:sz w:val="21"/>
                                <w:szCs w:val="21"/>
                              </w:rPr>
                              <w:t>.</w:t>
                            </w:r>
                          </w:p>
                          <w:p w14:paraId="4D080DD5"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Central to the colonisation of Aotearoa (New Zealand) is the dispossession of land and resources of whānau, hapū and iwi. </w:t>
                            </w:r>
                          </w:p>
                          <w:p w14:paraId="4907797F"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The position, and wellbeing of Māori women and children is central to ensuring the wellbeing of whānau.</w:t>
                            </w:r>
                          </w:p>
                          <w:p w14:paraId="3ECCE42A" w14:textId="6090E52A" w:rsidR="004B02AC" w:rsidRPr="0099483B" w:rsidRDefault="004B02AC" w:rsidP="003C32F2">
                            <w:pPr>
                              <w:numPr>
                                <w:ilvl w:val="0"/>
                                <w:numId w:val="9"/>
                              </w:numPr>
                              <w:spacing w:after="60" w:line="276" w:lineRule="auto"/>
                              <w:jc w:val="both"/>
                              <w:rPr>
                                <w:color w:val="000000"/>
                                <w:sz w:val="21"/>
                                <w:szCs w:val="21"/>
                                <w:lang w:val="en-US"/>
                              </w:rPr>
                            </w:pPr>
                            <w:r w:rsidRPr="0099483B">
                              <w:rPr>
                                <w:sz w:val="21"/>
                                <w:szCs w:val="21"/>
                                <w:lang w:val="en-US"/>
                              </w:rPr>
                              <w:t>In Aotearoa, colonisation is characterised by extensive acts of violence upon Māori.</w:t>
                            </w:r>
                          </w:p>
                          <w:p w14:paraId="5559EFB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Colonial ideologies and practices of gender, race and class that have been imported to Aotearoa have impacted significantly in the undermining of Māori structures, beliefs and ways of living. </w:t>
                            </w:r>
                          </w:p>
                          <w:p w14:paraId="764EB5E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Colonisation is both a series of events and an ongoing system of oppression that has disrupted may aspects of Māori social structures and ways of being.</w:t>
                            </w:r>
                          </w:p>
                          <w:p w14:paraId="44A5E22B" w14:textId="76B7BB50"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Understanding both </w:t>
                            </w:r>
                            <w:r w:rsidR="00147ABB">
                              <w:rPr>
                                <w:sz w:val="21"/>
                                <w:szCs w:val="21"/>
                              </w:rPr>
                              <w:t>the impact of colonisation and h</w:t>
                            </w:r>
                            <w:r w:rsidRPr="0099483B">
                              <w:rPr>
                                <w:sz w:val="21"/>
                                <w:szCs w:val="21"/>
                              </w:rPr>
                              <w:t xml:space="preserve">istorical </w:t>
                            </w:r>
                            <w:r>
                              <w:rPr>
                                <w:sz w:val="21"/>
                                <w:szCs w:val="21"/>
                              </w:rPr>
                              <w:t>t</w:t>
                            </w:r>
                            <w:r w:rsidRPr="0099483B">
                              <w:rPr>
                                <w:sz w:val="21"/>
                                <w:szCs w:val="21"/>
                              </w:rPr>
                              <w:t xml:space="preserve">rauma is critical to understanding the origins of </w:t>
                            </w:r>
                            <w:r>
                              <w:rPr>
                                <w:sz w:val="21"/>
                                <w:szCs w:val="21"/>
                              </w:rPr>
                              <w:t>f</w:t>
                            </w:r>
                            <w:r w:rsidRPr="0099483B">
                              <w:rPr>
                                <w:sz w:val="21"/>
                                <w:szCs w:val="21"/>
                              </w:rPr>
                              <w:t xml:space="preserve">amily </w:t>
                            </w:r>
                            <w:r>
                              <w:rPr>
                                <w:sz w:val="21"/>
                                <w:szCs w:val="21"/>
                              </w:rPr>
                              <w:t>v</w:t>
                            </w:r>
                            <w:r w:rsidRPr="0099483B">
                              <w:rPr>
                                <w:sz w:val="21"/>
                                <w:szCs w:val="21"/>
                              </w:rPr>
                              <w:t>iolence in Aotearoa.</w:t>
                            </w:r>
                          </w:p>
                          <w:p w14:paraId="2AE277BF" w14:textId="349434A9" w:rsidR="004B02AC" w:rsidRPr="0099483B" w:rsidRDefault="004B02AC" w:rsidP="003C32F2">
                            <w:pPr>
                              <w:numPr>
                                <w:ilvl w:val="0"/>
                                <w:numId w:val="9"/>
                              </w:numPr>
                              <w:spacing w:after="60" w:line="276" w:lineRule="auto"/>
                              <w:jc w:val="both"/>
                              <w:rPr>
                                <w:sz w:val="21"/>
                                <w:szCs w:val="21"/>
                              </w:rPr>
                            </w:pPr>
                            <w:r w:rsidRPr="0099483B">
                              <w:rPr>
                                <w:sz w:val="21"/>
                                <w:szCs w:val="21"/>
                              </w:rPr>
                              <w:t>Historical trauma relates to the collective trauma experienced through “massive cataclysmic” historical events that have been perpetrated intentionally by one group of people upon another.</w:t>
                            </w:r>
                          </w:p>
                          <w:p w14:paraId="4D1891FC"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Historical trauma is perpetrated through deliberate and intentional acts of violence and oppression upon one group of people by another group of people.  </w:t>
                            </w:r>
                          </w:p>
                          <w:p w14:paraId="42A541D8" w14:textId="27D2AAA7" w:rsidR="004B02AC" w:rsidRPr="0099483B" w:rsidRDefault="004B02AC" w:rsidP="003C32F2">
                            <w:pPr>
                              <w:numPr>
                                <w:ilvl w:val="0"/>
                                <w:numId w:val="9"/>
                              </w:numPr>
                              <w:spacing w:after="60" w:line="276" w:lineRule="auto"/>
                              <w:jc w:val="both"/>
                              <w:rPr>
                                <w:sz w:val="21"/>
                                <w:szCs w:val="21"/>
                              </w:rPr>
                            </w:pPr>
                            <w:r w:rsidRPr="0099483B">
                              <w:rPr>
                                <w:sz w:val="21"/>
                                <w:szCs w:val="21"/>
                              </w:rPr>
                              <w:t>Histori</w:t>
                            </w:r>
                            <w:r>
                              <w:rPr>
                                <w:sz w:val="21"/>
                                <w:szCs w:val="21"/>
                              </w:rPr>
                              <w:t>cal trauma can be viewed  as a ‘</w:t>
                            </w:r>
                            <w:r w:rsidRPr="0099483B">
                              <w:rPr>
                                <w:sz w:val="21"/>
                                <w:szCs w:val="21"/>
                              </w:rPr>
                              <w:t>soul wound</w:t>
                            </w:r>
                            <w:r>
                              <w:rPr>
                                <w:sz w:val="21"/>
                                <w:szCs w:val="21"/>
                              </w:rPr>
                              <w:t>,’</w:t>
                            </w:r>
                            <w:r w:rsidRPr="0099483B">
                              <w:rPr>
                                <w:sz w:val="21"/>
                                <w:szCs w:val="21"/>
                              </w:rPr>
                              <w:t xml:space="preserve"> which sits at the core of generations of Indigenous suffering.</w:t>
                            </w:r>
                            <w:r w:rsidRPr="0099483B">
                              <w:rPr>
                                <w:rFonts w:eastAsia="Times New Roman" w:cs="Arial"/>
                                <w:sz w:val="21"/>
                                <w:szCs w:val="21"/>
                              </w:rPr>
                              <w:t xml:space="preserve"> </w:t>
                            </w:r>
                          </w:p>
                          <w:p w14:paraId="58DBD861"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Māori views of whānau violence recognise the need for political, cultural and spiritual understandings and explanations.  </w:t>
                            </w:r>
                          </w:p>
                          <w:p w14:paraId="0508E413" w14:textId="273C804D" w:rsidR="004B02AC" w:rsidRPr="0099483B" w:rsidRDefault="004B02AC" w:rsidP="003C32F2">
                            <w:pPr>
                              <w:numPr>
                                <w:ilvl w:val="0"/>
                                <w:numId w:val="9"/>
                              </w:numPr>
                              <w:spacing w:after="60" w:line="276" w:lineRule="auto"/>
                              <w:jc w:val="both"/>
                              <w:rPr>
                                <w:sz w:val="21"/>
                                <w:szCs w:val="21"/>
                              </w:rPr>
                            </w:pPr>
                            <w:r w:rsidRPr="0099483B">
                              <w:rPr>
                                <w:sz w:val="21"/>
                                <w:szCs w:val="21"/>
                              </w:rPr>
                              <w:t>A range of Māori concepts such as</w:t>
                            </w:r>
                            <w:r>
                              <w:rPr>
                                <w:sz w:val="21"/>
                                <w:szCs w:val="21"/>
                              </w:rPr>
                              <w:t xml:space="preserve"> </w:t>
                            </w:r>
                            <w:r w:rsidRPr="0099483B">
                              <w:rPr>
                                <w:sz w:val="21"/>
                                <w:szCs w:val="21"/>
                              </w:rPr>
                              <w:t>‘patu ngākau’, ‘pouri’ and ‘mamae’ provide understandings of trauma and its impact upon Māori</w:t>
                            </w:r>
                            <w:r>
                              <w:rPr>
                                <w:sz w:val="21"/>
                                <w:szCs w:val="21"/>
                              </w:rPr>
                              <w:t>.</w:t>
                            </w:r>
                          </w:p>
                          <w:p w14:paraId="4122506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Healing must take place on both individual and collective levels to prevent intergenerational transmission of trauma.</w:t>
                            </w:r>
                          </w:p>
                          <w:p w14:paraId="5C73F675" w14:textId="77777777" w:rsidR="004B02AC" w:rsidRPr="0099483B" w:rsidRDefault="004B02AC" w:rsidP="003C32F2">
                            <w:pPr>
                              <w:numPr>
                                <w:ilvl w:val="0"/>
                                <w:numId w:val="9"/>
                              </w:numPr>
                              <w:spacing w:after="60" w:line="276" w:lineRule="auto"/>
                              <w:jc w:val="both"/>
                              <w:rPr>
                                <w:sz w:val="21"/>
                                <w:szCs w:val="21"/>
                                <w:lang w:val="en-US"/>
                              </w:rPr>
                            </w:pPr>
                            <w:r w:rsidRPr="0099483B">
                              <w:rPr>
                                <w:sz w:val="21"/>
                                <w:szCs w:val="21"/>
                                <w:lang w:val="en-US"/>
                              </w:rPr>
                              <w:t>Māori healing must be based on the restoration of the Māori cultural and healing paradigms that colonisation sought to destroy.</w:t>
                            </w:r>
                          </w:p>
                          <w:p w14:paraId="59972ECE" w14:textId="30D02AC4" w:rsidR="004B02AC" w:rsidRPr="0099483B" w:rsidRDefault="004B02AC" w:rsidP="003C32F2">
                            <w:pPr>
                              <w:numPr>
                                <w:ilvl w:val="0"/>
                                <w:numId w:val="9"/>
                              </w:numPr>
                              <w:spacing w:after="60" w:line="276" w:lineRule="auto"/>
                              <w:jc w:val="both"/>
                              <w:rPr>
                                <w:sz w:val="21"/>
                                <w:szCs w:val="21"/>
                                <w:lang w:val="en-US"/>
                              </w:rPr>
                            </w:pPr>
                            <w:r w:rsidRPr="0099483B">
                              <w:rPr>
                                <w:sz w:val="21"/>
                                <w:szCs w:val="21"/>
                                <w:lang w:val="en-US"/>
                              </w:rPr>
                              <w:t>Kaupapa Māori approaches to trauma and healing must be defined, controlled and undertaken by Māori for Māori.</w:t>
                            </w:r>
                          </w:p>
                        </w:txbxContent>
                      </wps:txbx>
                      <wps:bodyPr rot="0" vert="horz" wrap="square" lIns="252000" tIns="93600" rIns="46800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1BBBC767" id="_x0000_t202" coordsize="21600,21600" o:spt="202" path="m,l,21600r21600,l21600,xe">
                <v:stroke joinstyle="miter"/>
                <v:path gradientshapeok="t" o:connecttype="rect"/>
              </v:shapetype>
              <v:shape id="Text Box 6" o:spid="_x0000_s1026" type="#_x0000_t202" style="position:absolute;left:0;text-align:left;margin-left:-1.55pt;margin-top:34.4pt;width:491.1pt;height:564.75pt;z-index:251648000;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" fillcolor="#dbe5f1" strokecolor="#4f81bd">
                <v:fill opacity="22359f"/>
                <v:textbox inset="7mm,2.6mm,13mm">
                  <w:txbxContent>
                    <w:p w14:paraId="4E6158E2" w14:textId="77777777" w:rsidR="004B02AC" w:rsidRPr="003C32F2" w:rsidRDefault="004B02AC" w:rsidP="00234567">
                      <w:pPr>
                        <w:spacing w:after="0" w:line="276" w:lineRule="auto"/>
                        <w:rPr>
                          <w:b/>
                          <w:color w:val="17365D"/>
                          <w:sz w:val="28"/>
                          <w:szCs w:val="21"/>
                        </w:rPr>
                      </w:pPr>
                      <w:r w:rsidRPr="003C32F2">
                        <w:rPr>
                          <w:b/>
                          <w:color w:val="17365D"/>
                          <w:sz w:val="28"/>
                          <w:szCs w:val="21"/>
                        </w:rPr>
                        <w:t>Key Messages</w:t>
                      </w:r>
                    </w:p>
                    <w:p w14:paraId="300D0655"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Prior to colonisation Māori people lived within whānau, hapū and iwi collectives that supported wellbeing, with whānau as the primary source of support within Māori society.</w:t>
                      </w:r>
                    </w:p>
                    <w:p w14:paraId="7EB8B55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Traditional knowledge forms within tikanga, te reo and mātauranga Māori provide clear guidance for wellbeing and appropriate behaviours within relationships.</w:t>
                      </w:r>
                    </w:p>
                    <w:p w14:paraId="0F125308" w14:textId="2CCAD4A9" w:rsidR="004B02AC" w:rsidRPr="0099483B" w:rsidRDefault="004B02AC" w:rsidP="003C32F2">
                      <w:pPr>
                        <w:numPr>
                          <w:ilvl w:val="0"/>
                          <w:numId w:val="9"/>
                        </w:numPr>
                        <w:spacing w:after="60" w:line="276" w:lineRule="auto"/>
                        <w:jc w:val="both"/>
                        <w:rPr>
                          <w:sz w:val="21"/>
                          <w:szCs w:val="21"/>
                        </w:rPr>
                      </w:pPr>
                      <w:r w:rsidRPr="0099483B">
                        <w:rPr>
                          <w:sz w:val="21"/>
                          <w:szCs w:val="21"/>
                        </w:rPr>
                        <w:t>It is well documented that acts of whānau violence were not accepted by our ancestors</w:t>
                      </w:r>
                      <w:r>
                        <w:rPr>
                          <w:sz w:val="21"/>
                          <w:szCs w:val="21"/>
                        </w:rPr>
                        <w:t>.</w:t>
                      </w:r>
                    </w:p>
                    <w:p w14:paraId="4D080DD5"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Central to the colonisation of Aotearoa (New Zealand) is the dispossession of land and resources of whānau, hapū and iwi. </w:t>
                      </w:r>
                    </w:p>
                    <w:p w14:paraId="4907797F"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The position, and wellbeing of Māori women and children is central to ensuring the wellbeing of whānau.</w:t>
                      </w:r>
                    </w:p>
                    <w:p w14:paraId="3ECCE42A" w14:textId="6090E52A" w:rsidR="004B02AC" w:rsidRPr="0099483B" w:rsidRDefault="004B02AC" w:rsidP="003C32F2">
                      <w:pPr>
                        <w:numPr>
                          <w:ilvl w:val="0"/>
                          <w:numId w:val="9"/>
                        </w:numPr>
                        <w:spacing w:after="60" w:line="276" w:lineRule="auto"/>
                        <w:jc w:val="both"/>
                        <w:rPr>
                          <w:color w:val="000000"/>
                          <w:sz w:val="21"/>
                          <w:szCs w:val="21"/>
                          <w:lang w:val="en-US"/>
                        </w:rPr>
                      </w:pPr>
                      <w:r w:rsidRPr="0099483B">
                        <w:rPr>
                          <w:sz w:val="21"/>
                          <w:szCs w:val="21"/>
                          <w:lang w:val="en-US"/>
                        </w:rPr>
                        <w:t>In Aotearoa, colonisation is characterised by extensive acts of violence upon Māori.</w:t>
                      </w:r>
                    </w:p>
                    <w:p w14:paraId="5559EFB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Colonial ideologies and practices of gender, race and class that have been imported to Aotearoa have impacted significantly in the undermining of Māori structures, beliefs and ways of living. </w:t>
                      </w:r>
                    </w:p>
                    <w:p w14:paraId="764EB5E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Colonisation is both a series of events and an ongoing system of oppression that has disrupted may aspects of Māori social structures and ways of being.</w:t>
                      </w:r>
                    </w:p>
                    <w:p w14:paraId="44A5E22B" w14:textId="76B7BB50"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Understanding both </w:t>
                      </w:r>
                      <w:r w:rsidR="00147ABB">
                        <w:rPr>
                          <w:sz w:val="21"/>
                          <w:szCs w:val="21"/>
                        </w:rPr>
                        <w:t>the impact of colonisation and h</w:t>
                      </w:r>
                      <w:r w:rsidRPr="0099483B">
                        <w:rPr>
                          <w:sz w:val="21"/>
                          <w:szCs w:val="21"/>
                        </w:rPr>
                        <w:t xml:space="preserve">istorical </w:t>
                      </w:r>
                      <w:r>
                        <w:rPr>
                          <w:sz w:val="21"/>
                          <w:szCs w:val="21"/>
                        </w:rPr>
                        <w:t>t</w:t>
                      </w:r>
                      <w:r w:rsidRPr="0099483B">
                        <w:rPr>
                          <w:sz w:val="21"/>
                          <w:szCs w:val="21"/>
                        </w:rPr>
                        <w:t xml:space="preserve">rauma is critical to understanding the origins of </w:t>
                      </w:r>
                      <w:r>
                        <w:rPr>
                          <w:sz w:val="21"/>
                          <w:szCs w:val="21"/>
                        </w:rPr>
                        <w:t>f</w:t>
                      </w:r>
                      <w:r w:rsidRPr="0099483B">
                        <w:rPr>
                          <w:sz w:val="21"/>
                          <w:szCs w:val="21"/>
                        </w:rPr>
                        <w:t xml:space="preserve">amily </w:t>
                      </w:r>
                      <w:r>
                        <w:rPr>
                          <w:sz w:val="21"/>
                          <w:szCs w:val="21"/>
                        </w:rPr>
                        <w:t>v</w:t>
                      </w:r>
                      <w:r w:rsidRPr="0099483B">
                        <w:rPr>
                          <w:sz w:val="21"/>
                          <w:szCs w:val="21"/>
                        </w:rPr>
                        <w:t>iolence in Aotearoa.</w:t>
                      </w:r>
                    </w:p>
                    <w:p w14:paraId="2AE277BF" w14:textId="349434A9" w:rsidR="004B02AC" w:rsidRPr="0099483B" w:rsidRDefault="004B02AC" w:rsidP="003C32F2">
                      <w:pPr>
                        <w:numPr>
                          <w:ilvl w:val="0"/>
                          <w:numId w:val="9"/>
                        </w:numPr>
                        <w:spacing w:after="60" w:line="276" w:lineRule="auto"/>
                        <w:jc w:val="both"/>
                        <w:rPr>
                          <w:sz w:val="21"/>
                          <w:szCs w:val="21"/>
                        </w:rPr>
                      </w:pPr>
                      <w:r w:rsidRPr="0099483B">
                        <w:rPr>
                          <w:sz w:val="21"/>
                          <w:szCs w:val="21"/>
                        </w:rPr>
                        <w:t>Historical trauma relates to the collective trauma experienced through “massive cataclysmic” historical events that have been perpetrated intentionally by one group of people upon another.</w:t>
                      </w:r>
                    </w:p>
                    <w:p w14:paraId="4D1891FC"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Historical trauma is perpetrated through deliberate and intentional acts of violence and oppression upon one group of people by another group of people.  </w:t>
                      </w:r>
                    </w:p>
                    <w:p w14:paraId="42A541D8" w14:textId="27D2AAA7" w:rsidR="004B02AC" w:rsidRPr="0099483B" w:rsidRDefault="004B02AC" w:rsidP="003C32F2">
                      <w:pPr>
                        <w:numPr>
                          <w:ilvl w:val="0"/>
                          <w:numId w:val="9"/>
                        </w:numPr>
                        <w:spacing w:after="60" w:line="276" w:lineRule="auto"/>
                        <w:jc w:val="both"/>
                        <w:rPr>
                          <w:sz w:val="21"/>
                          <w:szCs w:val="21"/>
                        </w:rPr>
                      </w:pPr>
                      <w:r w:rsidRPr="0099483B">
                        <w:rPr>
                          <w:sz w:val="21"/>
                          <w:szCs w:val="21"/>
                        </w:rPr>
                        <w:t>Histori</w:t>
                      </w:r>
                      <w:r>
                        <w:rPr>
                          <w:sz w:val="21"/>
                          <w:szCs w:val="21"/>
                        </w:rPr>
                        <w:t>cal trauma can be viewed  as a ‘</w:t>
                      </w:r>
                      <w:r w:rsidRPr="0099483B">
                        <w:rPr>
                          <w:sz w:val="21"/>
                          <w:szCs w:val="21"/>
                        </w:rPr>
                        <w:t>soul wound</w:t>
                      </w:r>
                      <w:r>
                        <w:rPr>
                          <w:sz w:val="21"/>
                          <w:szCs w:val="21"/>
                        </w:rPr>
                        <w:t>,’</w:t>
                      </w:r>
                      <w:r w:rsidRPr="0099483B">
                        <w:rPr>
                          <w:sz w:val="21"/>
                          <w:szCs w:val="21"/>
                        </w:rPr>
                        <w:t xml:space="preserve"> which sits at the core of generations of Indigenous suffering.</w:t>
                      </w:r>
                      <w:r w:rsidRPr="0099483B">
                        <w:rPr>
                          <w:rFonts w:eastAsia="Times New Roman" w:cs="Arial"/>
                          <w:sz w:val="21"/>
                          <w:szCs w:val="21"/>
                        </w:rPr>
                        <w:t xml:space="preserve"> </w:t>
                      </w:r>
                    </w:p>
                    <w:p w14:paraId="58DBD861"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 xml:space="preserve">Māori views of whānau violence recognise the need for political, cultural and spiritual understandings and explanations.  </w:t>
                      </w:r>
                    </w:p>
                    <w:p w14:paraId="0508E413" w14:textId="273C804D" w:rsidR="004B02AC" w:rsidRPr="0099483B" w:rsidRDefault="004B02AC" w:rsidP="003C32F2">
                      <w:pPr>
                        <w:numPr>
                          <w:ilvl w:val="0"/>
                          <w:numId w:val="9"/>
                        </w:numPr>
                        <w:spacing w:after="60" w:line="276" w:lineRule="auto"/>
                        <w:jc w:val="both"/>
                        <w:rPr>
                          <w:sz w:val="21"/>
                          <w:szCs w:val="21"/>
                        </w:rPr>
                      </w:pPr>
                      <w:r w:rsidRPr="0099483B">
                        <w:rPr>
                          <w:sz w:val="21"/>
                          <w:szCs w:val="21"/>
                        </w:rPr>
                        <w:t>A range of Māori concepts such as</w:t>
                      </w:r>
                      <w:r>
                        <w:rPr>
                          <w:sz w:val="21"/>
                          <w:szCs w:val="21"/>
                        </w:rPr>
                        <w:t xml:space="preserve"> </w:t>
                      </w:r>
                      <w:r w:rsidRPr="0099483B">
                        <w:rPr>
                          <w:sz w:val="21"/>
                          <w:szCs w:val="21"/>
                        </w:rPr>
                        <w:t>‘patu ngākau’, ‘pouri’ and ‘mamae’ provide understandings of trauma and its impact upon Māori</w:t>
                      </w:r>
                      <w:r>
                        <w:rPr>
                          <w:sz w:val="21"/>
                          <w:szCs w:val="21"/>
                        </w:rPr>
                        <w:t>.</w:t>
                      </w:r>
                    </w:p>
                    <w:p w14:paraId="4122506B" w14:textId="77777777" w:rsidR="004B02AC" w:rsidRPr="0099483B" w:rsidRDefault="004B02AC" w:rsidP="003C32F2">
                      <w:pPr>
                        <w:numPr>
                          <w:ilvl w:val="0"/>
                          <w:numId w:val="9"/>
                        </w:numPr>
                        <w:spacing w:after="60" w:line="276" w:lineRule="auto"/>
                        <w:jc w:val="both"/>
                        <w:rPr>
                          <w:sz w:val="21"/>
                          <w:szCs w:val="21"/>
                        </w:rPr>
                      </w:pPr>
                      <w:r w:rsidRPr="0099483B">
                        <w:rPr>
                          <w:sz w:val="21"/>
                          <w:szCs w:val="21"/>
                        </w:rPr>
                        <w:t>Healing must take place on both individual and collective levels to prevent intergenerational transmission of trauma.</w:t>
                      </w:r>
                    </w:p>
                    <w:p w14:paraId="5C73F675" w14:textId="77777777" w:rsidR="004B02AC" w:rsidRPr="0099483B" w:rsidRDefault="004B02AC" w:rsidP="003C32F2">
                      <w:pPr>
                        <w:numPr>
                          <w:ilvl w:val="0"/>
                          <w:numId w:val="9"/>
                        </w:numPr>
                        <w:spacing w:after="60" w:line="276" w:lineRule="auto"/>
                        <w:jc w:val="both"/>
                        <w:rPr>
                          <w:sz w:val="21"/>
                          <w:szCs w:val="21"/>
                          <w:lang w:val="en-US"/>
                        </w:rPr>
                      </w:pPr>
                      <w:r w:rsidRPr="0099483B">
                        <w:rPr>
                          <w:sz w:val="21"/>
                          <w:szCs w:val="21"/>
                          <w:lang w:val="en-US"/>
                        </w:rPr>
                        <w:t>Māori healing must be based on the restoration of the Māori cultural and healing paradigms that colonisation sought to destroy.</w:t>
                      </w:r>
                    </w:p>
                    <w:p w14:paraId="59972ECE" w14:textId="30D02AC4" w:rsidR="004B02AC" w:rsidRPr="0099483B" w:rsidRDefault="004B02AC" w:rsidP="003C32F2">
                      <w:pPr>
                        <w:numPr>
                          <w:ilvl w:val="0"/>
                          <w:numId w:val="9"/>
                        </w:numPr>
                        <w:spacing w:after="60" w:line="276" w:lineRule="auto"/>
                        <w:jc w:val="both"/>
                        <w:rPr>
                          <w:sz w:val="21"/>
                          <w:szCs w:val="21"/>
                          <w:lang w:val="en-US"/>
                        </w:rPr>
                      </w:pPr>
                      <w:r w:rsidRPr="0099483B">
                        <w:rPr>
                          <w:sz w:val="21"/>
                          <w:szCs w:val="21"/>
                          <w:lang w:val="en-US"/>
                        </w:rPr>
                        <w:t>Kaupapa Māori approaches to trauma and healing must be defined, controlled and undertaken by Māori for Māori.</w:t>
                      </w:r>
                    </w:p>
                  </w:txbxContent>
                </v:textbox>
                <w10:wrap type="square"/>
              </v:shape>
            </w:pict>
          </mc:Fallback>
        </mc:AlternateContent>
      </w:r>
      <w:r w:rsidR="0099483B" w:rsidRPr="0099483B">
        <w:rPr>
          <w:sz w:val="20"/>
          <w:vertAlign w:val="superscript"/>
        </w:rPr>
        <w:t>1</w:t>
      </w:r>
      <w:r w:rsidR="0099483B">
        <w:rPr>
          <w:sz w:val="20"/>
          <w:vertAlign w:val="superscript"/>
        </w:rPr>
        <w:t xml:space="preserve"> </w:t>
      </w:r>
      <w:r w:rsidR="0099483B">
        <w:rPr>
          <w:sz w:val="20"/>
        </w:rPr>
        <w:t xml:space="preserve">Director, Māori And Indigenous Analysis Ltd  </w:t>
      </w:r>
      <w:r w:rsidR="005030D8">
        <w:rPr>
          <w:sz w:val="20"/>
        </w:rPr>
        <w:t xml:space="preserve"> </w:t>
      </w:r>
      <w:r w:rsidR="0099483B" w:rsidRPr="0099483B">
        <w:rPr>
          <w:sz w:val="20"/>
          <w:vertAlign w:val="superscript"/>
        </w:rPr>
        <w:t>2</w:t>
      </w:r>
      <w:r w:rsidR="0099483B">
        <w:rPr>
          <w:sz w:val="20"/>
          <w:vertAlign w:val="superscript"/>
        </w:rPr>
        <w:t xml:space="preserve"> </w:t>
      </w:r>
      <w:r w:rsidR="0099483B">
        <w:rPr>
          <w:sz w:val="20"/>
        </w:rPr>
        <w:t>CEO</w:t>
      </w:r>
      <w:r w:rsidR="008E0C28">
        <w:rPr>
          <w:sz w:val="20"/>
        </w:rPr>
        <w:t>,</w:t>
      </w:r>
      <w:r w:rsidR="0099483B">
        <w:rPr>
          <w:sz w:val="20"/>
        </w:rPr>
        <w:t xml:space="preserve"> Tū Tama Wahine </w:t>
      </w:r>
      <w:r w:rsidR="008E0C28">
        <w:rPr>
          <w:sz w:val="20"/>
        </w:rPr>
        <w:t>o Taranaki Inc</w:t>
      </w:r>
      <w:r w:rsidR="0099483B">
        <w:rPr>
          <w:sz w:val="20"/>
        </w:rPr>
        <w:t xml:space="preserve">  </w:t>
      </w:r>
      <w:r w:rsidR="005030D8">
        <w:rPr>
          <w:sz w:val="20"/>
        </w:rPr>
        <w:t xml:space="preserve"> </w:t>
      </w:r>
      <w:r>
        <w:rPr>
          <w:sz w:val="20"/>
        </w:rPr>
        <w:br/>
      </w:r>
      <w:r w:rsidR="005030D8" w:rsidRPr="0099483B">
        <w:rPr>
          <w:sz w:val="20"/>
          <w:vertAlign w:val="superscript"/>
        </w:rPr>
        <w:t>3</w:t>
      </w:r>
      <w:r w:rsidR="005030D8">
        <w:rPr>
          <w:sz w:val="20"/>
          <w:vertAlign w:val="superscript"/>
        </w:rPr>
        <w:t xml:space="preserve"> </w:t>
      </w:r>
      <w:r w:rsidR="005A7A3B">
        <w:rPr>
          <w:sz w:val="20"/>
        </w:rPr>
        <w:t>Director, Kak</w:t>
      </w:r>
      <w:r w:rsidR="0099483B">
        <w:rPr>
          <w:sz w:val="20"/>
        </w:rPr>
        <w:t xml:space="preserve">ariki </w:t>
      </w:r>
      <w:r>
        <w:rPr>
          <w:sz w:val="20"/>
        </w:rPr>
        <w:t xml:space="preserve">Consulting </w:t>
      </w:r>
      <w:r w:rsidR="0099483B">
        <w:rPr>
          <w:sz w:val="20"/>
        </w:rPr>
        <w:t>Ltd</w:t>
      </w:r>
    </w:p>
    <w:p w14:paraId="4A8A3154" w14:textId="77777777" w:rsidR="00D50E7A" w:rsidRDefault="00D50E7A" w:rsidP="008F37E5">
      <w:pPr>
        <w:pStyle w:val="Affiliations"/>
        <w:spacing w:after="0" w:line="264" w:lineRule="auto"/>
        <w:rPr>
          <w:rFonts w:cs="Arial"/>
          <w:noProof/>
          <w:lang w:eastAsia="en-NZ"/>
        </w:rPr>
      </w:pPr>
    </w:p>
    <w:p w14:paraId="32934A9E" w14:textId="77777777" w:rsidR="00D50E7A" w:rsidRDefault="00D50E7A" w:rsidP="008F37E5">
      <w:pPr>
        <w:pStyle w:val="Affiliations"/>
        <w:spacing w:after="0" w:line="264" w:lineRule="auto"/>
        <w:rPr>
          <w:rFonts w:cs="Arial"/>
          <w:noProof/>
          <w:lang w:eastAsia="en-NZ"/>
        </w:rPr>
      </w:pPr>
    </w:p>
    <w:p w14:paraId="57A266D7" w14:textId="77777777" w:rsidR="00D50E7A" w:rsidRDefault="00D50E7A" w:rsidP="008F37E5">
      <w:pPr>
        <w:pStyle w:val="Affiliations"/>
        <w:spacing w:after="0" w:line="264" w:lineRule="auto"/>
        <w:rPr>
          <w:rFonts w:cs="Arial"/>
          <w:noProof/>
          <w:lang w:eastAsia="en-NZ"/>
        </w:rPr>
      </w:pPr>
    </w:p>
    <w:p w14:paraId="0C501EF9" w14:textId="77777777" w:rsidR="00D50E7A" w:rsidRDefault="00D50E7A" w:rsidP="008F37E5">
      <w:pPr>
        <w:pStyle w:val="Affiliations"/>
        <w:spacing w:after="0" w:line="264" w:lineRule="auto"/>
        <w:rPr>
          <w:rFonts w:cs="Arial"/>
          <w:noProof/>
          <w:lang w:eastAsia="en-NZ"/>
        </w:rPr>
      </w:pPr>
    </w:p>
    <w:p w14:paraId="78C0FA44" w14:textId="77777777" w:rsidR="00D50E7A" w:rsidRDefault="00D50E7A" w:rsidP="008F37E5">
      <w:pPr>
        <w:pStyle w:val="Affiliations"/>
        <w:spacing w:after="0" w:line="264" w:lineRule="auto"/>
        <w:rPr>
          <w:rFonts w:cs="Arial"/>
          <w:noProof/>
          <w:lang w:eastAsia="en-NZ"/>
        </w:rPr>
      </w:pPr>
    </w:p>
    <w:p w14:paraId="1E4DEB4E" w14:textId="77777777" w:rsidR="00D50E7A" w:rsidRDefault="00D50E7A" w:rsidP="008F37E5">
      <w:pPr>
        <w:pStyle w:val="Affiliations"/>
        <w:spacing w:after="0" w:line="264" w:lineRule="auto"/>
        <w:rPr>
          <w:rFonts w:cs="Arial"/>
          <w:noProof/>
          <w:lang w:eastAsia="en-NZ"/>
        </w:rPr>
      </w:pPr>
    </w:p>
    <w:p w14:paraId="2E48D8B1" w14:textId="77777777" w:rsidR="00D50E7A" w:rsidRDefault="00D50E7A" w:rsidP="008F37E5">
      <w:pPr>
        <w:pStyle w:val="Affiliations"/>
        <w:spacing w:after="0" w:line="264" w:lineRule="auto"/>
        <w:rPr>
          <w:rFonts w:cs="Arial"/>
          <w:noProof/>
          <w:lang w:eastAsia="en-NZ"/>
        </w:rPr>
      </w:pPr>
    </w:p>
    <w:p w14:paraId="3BADD179" w14:textId="77777777" w:rsidR="00D50E7A" w:rsidRDefault="00D50E7A" w:rsidP="008F37E5">
      <w:pPr>
        <w:pStyle w:val="Affiliations"/>
        <w:spacing w:after="0" w:line="264" w:lineRule="auto"/>
        <w:rPr>
          <w:rFonts w:cs="Arial"/>
          <w:noProof/>
          <w:lang w:eastAsia="en-NZ"/>
        </w:rPr>
      </w:pPr>
    </w:p>
    <w:p w14:paraId="1649DA43" w14:textId="77777777" w:rsidR="00D50E7A" w:rsidRDefault="00D50E7A" w:rsidP="008F37E5">
      <w:pPr>
        <w:pStyle w:val="Affiliations"/>
        <w:spacing w:after="0" w:line="264" w:lineRule="auto"/>
        <w:rPr>
          <w:rFonts w:cs="Arial"/>
          <w:noProof/>
          <w:lang w:eastAsia="en-NZ"/>
        </w:rPr>
      </w:pPr>
    </w:p>
    <w:p w14:paraId="2A4704DF" w14:textId="77777777" w:rsidR="00D50E7A" w:rsidRDefault="00D50E7A" w:rsidP="008F37E5">
      <w:pPr>
        <w:pStyle w:val="Affiliations"/>
        <w:spacing w:after="0" w:line="264" w:lineRule="auto"/>
        <w:rPr>
          <w:rFonts w:cs="Arial"/>
          <w:noProof/>
          <w:lang w:eastAsia="en-NZ"/>
        </w:rPr>
      </w:pPr>
    </w:p>
    <w:p w14:paraId="0192B243" w14:textId="77777777" w:rsidR="004159D8" w:rsidRDefault="004159D8" w:rsidP="008F37E5">
      <w:pPr>
        <w:pStyle w:val="Affiliations"/>
        <w:spacing w:after="0" w:line="264" w:lineRule="auto"/>
        <w:rPr>
          <w:rFonts w:cs="Arial"/>
          <w:noProof/>
          <w:lang w:eastAsia="en-NZ"/>
        </w:rPr>
      </w:pPr>
    </w:p>
    <w:p w14:paraId="73CD603F" w14:textId="77777777" w:rsidR="00D50E7A" w:rsidRDefault="00D50E7A" w:rsidP="008F37E5">
      <w:pPr>
        <w:pStyle w:val="Affiliations"/>
        <w:spacing w:after="0" w:line="264" w:lineRule="auto"/>
        <w:rPr>
          <w:rFonts w:cs="Arial"/>
          <w:noProof/>
          <w:lang w:eastAsia="en-NZ"/>
        </w:rPr>
      </w:pPr>
    </w:p>
    <w:p w14:paraId="28F23BAA" w14:textId="77777777" w:rsidR="00D50E7A" w:rsidRDefault="00D50E7A" w:rsidP="008F37E5">
      <w:pPr>
        <w:pStyle w:val="Affiliations"/>
        <w:spacing w:after="0" w:line="264" w:lineRule="auto"/>
        <w:rPr>
          <w:rFonts w:cs="Arial"/>
          <w:noProof/>
          <w:lang w:eastAsia="en-NZ"/>
        </w:rPr>
      </w:pPr>
    </w:p>
    <w:p w14:paraId="6FE7A1A0" w14:textId="77777777" w:rsidR="00D50E7A" w:rsidRDefault="00D50E7A" w:rsidP="008F37E5">
      <w:pPr>
        <w:pStyle w:val="Affiliations"/>
        <w:spacing w:after="0" w:line="264" w:lineRule="auto"/>
        <w:rPr>
          <w:rFonts w:cs="Arial"/>
          <w:noProof/>
          <w:lang w:eastAsia="en-NZ"/>
        </w:rPr>
      </w:pPr>
    </w:p>
    <w:p w14:paraId="24307229" w14:textId="77777777" w:rsidR="00D50E7A" w:rsidRDefault="00D50E7A" w:rsidP="008F37E5">
      <w:pPr>
        <w:pStyle w:val="Affiliations"/>
        <w:spacing w:after="0" w:line="264" w:lineRule="auto"/>
        <w:rPr>
          <w:rFonts w:cs="Arial"/>
          <w:noProof/>
          <w:lang w:eastAsia="en-NZ"/>
        </w:rPr>
      </w:pPr>
    </w:p>
    <w:p w14:paraId="71984C42" w14:textId="77777777" w:rsidR="00D50E7A" w:rsidRDefault="00D50E7A" w:rsidP="008F37E5">
      <w:pPr>
        <w:pStyle w:val="Affiliations"/>
        <w:spacing w:after="0" w:line="264" w:lineRule="auto"/>
        <w:rPr>
          <w:rFonts w:cs="Arial"/>
          <w:noProof/>
          <w:lang w:eastAsia="en-NZ"/>
        </w:rPr>
      </w:pPr>
    </w:p>
    <w:p w14:paraId="7AB2771C" w14:textId="6B6991A1" w:rsidR="006A280F" w:rsidRDefault="006A280F" w:rsidP="008F37E5">
      <w:pPr>
        <w:pStyle w:val="Affiliations"/>
        <w:spacing w:after="0" w:line="264" w:lineRule="auto"/>
        <w:rPr>
          <w:rFonts w:cs="Arial"/>
          <w:noProof/>
          <w:lang w:eastAsia="en-NZ"/>
        </w:rPr>
      </w:pPr>
    </w:p>
    <w:p w14:paraId="4C04BB55" w14:textId="77777777" w:rsidR="008F61D1" w:rsidRDefault="008F61D1" w:rsidP="008F37E5">
      <w:pPr>
        <w:pStyle w:val="Affiliations"/>
        <w:spacing w:after="0" w:line="264" w:lineRule="auto"/>
        <w:rPr>
          <w:rFonts w:cs="Arial"/>
          <w:noProof/>
          <w:lang w:eastAsia="en-NZ"/>
        </w:rPr>
      </w:pPr>
    </w:p>
    <w:p w14:paraId="00E690E3" w14:textId="7ECF6062" w:rsidR="008F61D1" w:rsidRDefault="008F61D1" w:rsidP="008F37E5">
      <w:pPr>
        <w:pStyle w:val="Affiliations"/>
        <w:spacing w:after="0" w:line="264" w:lineRule="auto"/>
        <w:rPr>
          <w:rFonts w:cs="Arial"/>
          <w:noProof/>
          <w:lang w:eastAsia="en-NZ"/>
        </w:rPr>
      </w:pPr>
    </w:p>
    <w:p w14:paraId="63BDADD1" w14:textId="77777777" w:rsidR="00AA6080" w:rsidRPr="00FE4283" w:rsidRDefault="00AA6080" w:rsidP="008F37E5">
      <w:pPr>
        <w:pStyle w:val="Affiliations"/>
        <w:spacing w:after="0" w:line="264" w:lineRule="auto"/>
        <w:rPr>
          <w:rStyle w:val="SubtleReference1"/>
        </w:rPr>
      </w:pPr>
    </w:p>
    <w:p w14:paraId="0A39A397" w14:textId="77777777" w:rsidR="00234567" w:rsidRDefault="00234567" w:rsidP="008F37E5">
      <w:pPr>
        <w:pStyle w:val="Affiliations"/>
        <w:spacing w:line="264" w:lineRule="auto"/>
        <w:rPr>
          <w:rFonts w:cs="Arial"/>
          <w:lang w:eastAsia="en-NZ"/>
        </w:rPr>
      </w:pPr>
    </w:p>
    <w:p w14:paraId="7EC20E21" w14:textId="7EE3F4F7" w:rsidR="00AA6080" w:rsidRPr="002737FF" w:rsidRDefault="00AA6080" w:rsidP="008F37E5">
      <w:pPr>
        <w:pStyle w:val="Affiliations"/>
        <w:spacing w:line="264" w:lineRule="auto"/>
        <w:rPr>
          <w:rFonts w:cs="Arial"/>
          <w:lang w:eastAsia="en-NZ"/>
        </w:rPr>
      </w:pPr>
      <w:bookmarkStart w:id="0" w:name="_GoBack"/>
      <w:bookmarkEnd w:id="0"/>
      <w:r w:rsidRPr="002737FF">
        <w:rPr>
          <w:rFonts w:cs="Arial"/>
          <w:lang w:eastAsia="en-NZ"/>
        </w:rPr>
        <w:t xml:space="preserve">The </w:t>
      </w:r>
      <w:r w:rsidRPr="002737FF">
        <w:rPr>
          <w:rFonts w:cs="Arial"/>
          <w:noProof/>
          <w:lang w:eastAsia="en-NZ"/>
        </w:rPr>
        <w:t>New Zealand Family Violence Clearinghouse</w:t>
      </w:r>
      <w:r w:rsidRPr="002737FF">
        <w:rPr>
          <w:rFonts w:cs="Arial"/>
          <w:lang w:eastAsia="en-NZ"/>
        </w:rPr>
        <w:t xml:space="preserve"> can be contacted at:</w:t>
      </w:r>
    </w:p>
    <w:p w14:paraId="75A4F4B5"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 xml:space="preserve">New Zealand Family Violence Clearinghouse </w:t>
      </w:r>
      <w:r w:rsidRPr="002737FF">
        <w:rPr>
          <w:rFonts w:cs="Arial"/>
          <w:noProof/>
          <w:lang w:eastAsia="en-NZ"/>
        </w:rPr>
        <w:br/>
        <w:t>Tāmaki Campus</w:t>
      </w:r>
      <w:r w:rsidRPr="002737FF">
        <w:rPr>
          <w:rFonts w:cs="Arial"/>
          <w:noProof/>
          <w:lang w:eastAsia="en-NZ"/>
        </w:rPr>
        <w:br/>
        <w:t>University of Auckland</w:t>
      </w:r>
      <w:r w:rsidRPr="002737FF">
        <w:rPr>
          <w:rFonts w:cs="Arial"/>
          <w:noProof/>
          <w:lang w:eastAsia="en-NZ"/>
        </w:rPr>
        <w:br/>
        <w:t xml:space="preserve">Private Bag 92019, Victoria Street West </w:t>
      </w:r>
    </w:p>
    <w:p w14:paraId="544CB32C"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Auckland 1142</w:t>
      </w:r>
      <w:r w:rsidRPr="002737FF">
        <w:rPr>
          <w:rFonts w:cs="Arial"/>
          <w:noProof/>
          <w:lang w:eastAsia="en-NZ"/>
        </w:rPr>
        <w:br/>
        <w:t>New Zealand</w:t>
      </w:r>
    </w:p>
    <w:p w14:paraId="1D827CB9" w14:textId="77777777" w:rsidR="0098586C" w:rsidRPr="002737FF" w:rsidRDefault="0098586C" w:rsidP="008F37E5">
      <w:pPr>
        <w:pStyle w:val="Affiliations"/>
        <w:spacing w:line="264" w:lineRule="auto"/>
        <w:rPr>
          <w:rFonts w:cs="Arial"/>
        </w:rPr>
      </w:pPr>
      <w:r w:rsidRPr="002737FF">
        <w:rPr>
          <w:rFonts w:cs="Arial"/>
        </w:rPr>
        <w:t xml:space="preserve">Phone: + 64 9 923 4640 </w:t>
      </w:r>
    </w:p>
    <w:p w14:paraId="31F7819A" w14:textId="4B91FA6F" w:rsidR="0098586C" w:rsidRPr="002737FF" w:rsidRDefault="0098586C" w:rsidP="00466CF5">
      <w:pPr>
        <w:pStyle w:val="Affiliations"/>
        <w:tabs>
          <w:tab w:val="left" w:pos="2910"/>
        </w:tabs>
        <w:spacing w:line="264" w:lineRule="auto"/>
        <w:rPr>
          <w:rFonts w:cs="Arial"/>
        </w:rPr>
      </w:pPr>
      <w:r w:rsidRPr="002737FF">
        <w:rPr>
          <w:rFonts w:cs="Arial"/>
        </w:rPr>
        <w:t>Email: info@nzfvc.org.nz</w:t>
      </w:r>
      <w:r w:rsidR="00466CF5">
        <w:rPr>
          <w:rFonts w:cs="Arial"/>
        </w:rPr>
        <w:tab/>
      </w:r>
      <w:r w:rsidRPr="002737FF">
        <w:rPr>
          <w:rFonts w:cs="Arial"/>
        </w:rPr>
        <w:br/>
        <w:t xml:space="preserve">Website: </w:t>
      </w:r>
      <w:r w:rsidR="004159D8">
        <w:rPr>
          <w:rFonts w:cs="Arial"/>
        </w:rPr>
        <w:t>http://</w:t>
      </w:r>
      <w:r w:rsidRPr="002737FF">
        <w:rPr>
          <w:rFonts w:cs="Arial"/>
        </w:rPr>
        <w:t>nzfvc.org.nz</w:t>
      </w:r>
    </w:p>
    <w:p w14:paraId="7F33B3DA" w14:textId="77777777" w:rsidR="0098586C" w:rsidRPr="002737FF" w:rsidRDefault="0098586C" w:rsidP="008F37E5">
      <w:pPr>
        <w:pStyle w:val="Affiliations"/>
        <w:spacing w:line="264" w:lineRule="auto"/>
        <w:rPr>
          <w:rFonts w:cs="Arial"/>
        </w:rPr>
      </w:pPr>
      <w:r w:rsidRPr="002737FF">
        <w:rPr>
          <w:rFonts w:eastAsia="MS Mincho" w:cs="Arial"/>
        </w:rPr>
        <w:t xml:space="preserve">ISSN: </w:t>
      </w:r>
      <w:r w:rsidRPr="002737FF">
        <w:rPr>
          <w:rFonts w:cs="Arial"/>
        </w:rPr>
        <w:t>2253-3222</w:t>
      </w:r>
      <w:r w:rsidRPr="002737FF">
        <w:rPr>
          <w:rFonts w:eastAsia="MS Mincho" w:cs="Arial"/>
        </w:rPr>
        <w:t xml:space="preserve"> (online)</w:t>
      </w:r>
    </w:p>
    <w:p w14:paraId="7D87BA43" w14:textId="77777777" w:rsidR="0098586C" w:rsidRPr="002737FF" w:rsidRDefault="0098586C" w:rsidP="008F37E5">
      <w:pPr>
        <w:spacing w:line="264" w:lineRule="auto"/>
        <w:rPr>
          <w:rFonts w:cs="Arial"/>
          <w:b/>
          <w:sz w:val="28"/>
        </w:rPr>
      </w:pPr>
      <w:r w:rsidRPr="002737FF">
        <w:rPr>
          <w:rFonts w:cs="Arial"/>
          <w:b/>
          <w:sz w:val="28"/>
        </w:rPr>
        <w:t xml:space="preserve">Recommended citation </w:t>
      </w:r>
    </w:p>
    <w:p w14:paraId="5B019725" w14:textId="55D4FE2A" w:rsidR="0098586C" w:rsidRPr="002737FF" w:rsidRDefault="00187209" w:rsidP="001D43D5">
      <w:pPr>
        <w:rPr>
          <w:rFonts w:cs="Arial"/>
        </w:rPr>
      </w:pPr>
      <w:r w:rsidRPr="00187209">
        <w:rPr>
          <w:rFonts w:eastAsia="MS Mincho" w:cs="Arial"/>
          <w:sz w:val="20"/>
          <w:szCs w:val="20"/>
        </w:rPr>
        <w:t>Pihama,</w:t>
      </w:r>
      <w:r>
        <w:rPr>
          <w:rFonts w:eastAsia="MS Mincho" w:cs="Arial"/>
          <w:sz w:val="20"/>
          <w:szCs w:val="20"/>
        </w:rPr>
        <w:t xml:space="preserve"> L., </w:t>
      </w:r>
      <w:r w:rsidRPr="00187209">
        <w:rPr>
          <w:rFonts w:eastAsia="MS Mincho" w:cs="Arial"/>
          <w:sz w:val="20"/>
          <w:szCs w:val="20"/>
        </w:rPr>
        <w:t>Cameron,</w:t>
      </w:r>
      <w:r>
        <w:rPr>
          <w:rFonts w:eastAsia="MS Mincho" w:cs="Arial"/>
          <w:sz w:val="20"/>
          <w:szCs w:val="20"/>
        </w:rPr>
        <w:t xml:space="preserve"> N., &amp; </w:t>
      </w:r>
      <w:r w:rsidRPr="00187209">
        <w:rPr>
          <w:rFonts w:eastAsia="MS Mincho" w:cs="Arial"/>
          <w:sz w:val="20"/>
          <w:szCs w:val="20"/>
        </w:rPr>
        <w:t>Te Nana</w:t>
      </w:r>
      <w:r>
        <w:rPr>
          <w:rFonts w:eastAsia="MS Mincho" w:cs="Arial"/>
          <w:sz w:val="20"/>
          <w:szCs w:val="20"/>
        </w:rPr>
        <w:t xml:space="preserve">, R. (2019). </w:t>
      </w:r>
      <w:r w:rsidRPr="00187209">
        <w:rPr>
          <w:rFonts w:eastAsia="MS Mincho" w:cs="Arial"/>
          <w:i/>
          <w:sz w:val="20"/>
          <w:szCs w:val="20"/>
          <w:lang w:val="en-AU"/>
        </w:rPr>
        <w:t>Historical trauma and whānau violence</w:t>
      </w:r>
      <w:r w:rsidR="00117CE3" w:rsidRPr="009029C5">
        <w:rPr>
          <w:rFonts w:eastAsia="Calibri" w:cs="Arial"/>
          <w:i/>
          <w:color w:val="000000"/>
          <w:sz w:val="20"/>
          <w:szCs w:val="20"/>
          <w:lang w:val="en-AU"/>
        </w:rPr>
        <w:t>.</w:t>
      </w:r>
      <w:r w:rsidR="00985A31" w:rsidRPr="009029C5">
        <w:rPr>
          <w:rFonts w:cs="Arial"/>
          <w:i/>
          <w:sz w:val="20"/>
          <w:szCs w:val="20"/>
        </w:rPr>
        <w:t xml:space="preserve"> </w:t>
      </w:r>
      <w:r w:rsidR="00C5680E" w:rsidRPr="00C5680E">
        <w:rPr>
          <w:rFonts w:eastAsia="MS Mincho" w:cs="Arial"/>
          <w:sz w:val="20"/>
          <w:szCs w:val="20"/>
        </w:rPr>
        <w:t>Issues Paper 1</w:t>
      </w:r>
      <w:r>
        <w:rPr>
          <w:rFonts w:eastAsia="MS Mincho" w:cs="Arial"/>
          <w:sz w:val="20"/>
          <w:szCs w:val="20"/>
        </w:rPr>
        <w:t>5</w:t>
      </w:r>
      <w:r w:rsidR="00C5680E" w:rsidRPr="00C5680E">
        <w:rPr>
          <w:rFonts w:eastAsia="MS Mincho" w:cs="Arial"/>
          <w:sz w:val="20"/>
          <w:szCs w:val="20"/>
        </w:rPr>
        <w:t>.</w:t>
      </w:r>
      <w:r w:rsidR="00C5680E">
        <w:rPr>
          <w:rFonts w:eastAsia="MS Mincho" w:cs="Arial"/>
          <w:i/>
          <w:sz w:val="20"/>
          <w:szCs w:val="20"/>
        </w:rPr>
        <w:t xml:space="preserve"> </w:t>
      </w:r>
      <w:r w:rsidR="0098586C" w:rsidRPr="009029C5">
        <w:rPr>
          <w:rFonts w:cs="Arial"/>
          <w:sz w:val="20"/>
          <w:szCs w:val="20"/>
        </w:rPr>
        <w:t>Auckland</w:t>
      </w:r>
      <w:r w:rsidR="0098586C" w:rsidRPr="002737FF">
        <w:rPr>
          <w:rFonts w:cs="Arial"/>
          <w:sz w:val="20"/>
          <w:szCs w:val="20"/>
        </w:rPr>
        <w:t>: New Zealand Family Violence Clearinghouse, University of Auckland.</w:t>
      </w:r>
    </w:p>
    <w:p w14:paraId="67105B8D" w14:textId="3DEE62BE" w:rsidR="0098586C" w:rsidRPr="002737FF" w:rsidRDefault="0098586C" w:rsidP="001B4793">
      <w:pPr>
        <w:tabs>
          <w:tab w:val="left" w:pos="5774"/>
        </w:tabs>
        <w:spacing w:line="264" w:lineRule="auto"/>
        <w:rPr>
          <w:rFonts w:cs="Arial"/>
          <w:b/>
          <w:sz w:val="28"/>
        </w:rPr>
      </w:pPr>
      <w:r w:rsidRPr="002737FF">
        <w:rPr>
          <w:rFonts w:cs="Arial"/>
          <w:b/>
          <w:sz w:val="28"/>
        </w:rPr>
        <w:t>Acknowledgements</w:t>
      </w:r>
      <w:r w:rsidR="001B4793">
        <w:rPr>
          <w:rFonts w:cs="Arial"/>
          <w:b/>
          <w:sz w:val="28"/>
        </w:rPr>
        <w:tab/>
      </w:r>
    </w:p>
    <w:p w14:paraId="52C5EE83" w14:textId="43E51125" w:rsidR="00187209" w:rsidRPr="00187209" w:rsidRDefault="00187209" w:rsidP="00187209">
      <w:pPr>
        <w:rPr>
          <w:noProof/>
          <w:sz w:val="20"/>
          <w:lang w:eastAsia="en-NZ"/>
        </w:rPr>
      </w:pPr>
      <w:r w:rsidRPr="00187209">
        <w:rPr>
          <w:noProof/>
          <w:sz w:val="20"/>
          <w:lang w:eastAsia="en-NZ"/>
        </w:rPr>
        <w:t xml:space="preserve">This </w:t>
      </w:r>
      <w:r>
        <w:rPr>
          <w:noProof/>
          <w:sz w:val="20"/>
          <w:lang w:eastAsia="en-NZ"/>
        </w:rPr>
        <w:t>I</w:t>
      </w:r>
      <w:r w:rsidRPr="00187209">
        <w:rPr>
          <w:noProof/>
          <w:sz w:val="20"/>
          <w:lang w:eastAsia="en-NZ"/>
        </w:rPr>
        <w:t xml:space="preserve">ssues </w:t>
      </w:r>
      <w:r>
        <w:rPr>
          <w:noProof/>
          <w:sz w:val="20"/>
          <w:lang w:eastAsia="en-NZ"/>
        </w:rPr>
        <w:t>P</w:t>
      </w:r>
      <w:r w:rsidRPr="00187209">
        <w:rPr>
          <w:noProof/>
          <w:sz w:val="20"/>
          <w:lang w:eastAsia="en-NZ"/>
        </w:rPr>
        <w:t>aper has been developed as a part of ‘He Kokonga Whare:</w:t>
      </w:r>
      <w:r w:rsidRPr="00187209">
        <w:rPr>
          <w:sz w:val="20"/>
        </w:rPr>
        <w:t xml:space="preserve"> Māori Intergenerational Trauma and Healing</w:t>
      </w:r>
      <w:r w:rsidRPr="00187209">
        <w:rPr>
          <w:noProof/>
          <w:sz w:val="20"/>
          <w:lang w:eastAsia="en-NZ"/>
        </w:rPr>
        <w:t xml:space="preserve">’ </w:t>
      </w:r>
      <w:r>
        <w:rPr>
          <w:noProof/>
          <w:sz w:val="20"/>
          <w:lang w:eastAsia="en-NZ"/>
        </w:rPr>
        <w:t>r</w:t>
      </w:r>
      <w:r w:rsidRPr="00187209">
        <w:rPr>
          <w:noProof/>
          <w:sz w:val="20"/>
          <w:lang w:eastAsia="en-NZ"/>
        </w:rPr>
        <w:t xml:space="preserve">esearch </w:t>
      </w:r>
      <w:r>
        <w:rPr>
          <w:noProof/>
          <w:sz w:val="20"/>
          <w:lang w:eastAsia="en-NZ"/>
        </w:rPr>
        <w:t>p</w:t>
      </w:r>
      <w:r w:rsidRPr="00187209">
        <w:rPr>
          <w:noProof/>
          <w:sz w:val="20"/>
          <w:lang w:eastAsia="en-NZ"/>
        </w:rPr>
        <w:t>rogramme hosted by Te Atawhai o Te Ao, funded by the Health Research Council of New Zealand and t</w:t>
      </w:r>
      <w:r>
        <w:rPr>
          <w:noProof/>
          <w:sz w:val="20"/>
          <w:lang w:eastAsia="en-NZ"/>
        </w:rPr>
        <w:t>h</w:t>
      </w:r>
      <w:r w:rsidRPr="00187209">
        <w:rPr>
          <w:noProof/>
          <w:sz w:val="20"/>
          <w:lang w:eastAsia="en-NZ"/>
        </w:rPr>
        <w:t xml:space="preserve">e ‘He Waka Eke Noa: </w:t>
      </w:r>
      <w:r w:rsidRPr="00187209">
        <w:rPr>
          <w:sz w:val="20"/>
        </w:rPr>
        <w:t xml:space="preserve">Māori Cultural Frameworks for Violence Prevention and Intervention’ research project funded by the </w:t>
      </w:r>
      <w:r>
        <w:rPr>
          <w:sz w:val="20"/>
        </w:rPr>
        <w:t>Ministry for Business, Innovation and Employment (</w:t>
      </w:r>
      <w:r w:rsidRPr="00187209">
        <w:rPr>
          <w:sz w:val="20"/>
        </w:rPr>
        <w:t>MBIE</w:t>
      </w:r>
      <w:r>
        <w:rPr>
          <w:sz w:val="20"/>
        </w:rPr>
        <w:t>)</w:t>
      </w:r>
      <w:r w:rsidRPr="00187209">
        <w:rPr>
          <w:sz w:val="20"/>
        </w:rPr>
        <w:t>.</w:t>
      </w:r>
    </w:p>
    <w:p w14:paraId="6094051A" w14:textId="2B91130D" w:rsidR="007976BB" w:rsidRDefault="007976BB" w:rsidP="007976BB">
      <w:pPr>
        <w:pStyle w:val="Affiliations"/>
        <w:rPr>
          <w:rFonts w:cs="Arial"/>
          <w:color w:val="000000"/>
          <w:szCs w:val="22"/>
        </w:rPr>
      </w:pPr>
      <w:r w:rsidRPr="002737FF">
        <w:rPr>
          <w:rFonts w:cs="Arial"/>
          <w:color w:val="000000"/>
          <w:szCs w:val="22"/>
        </w:rPr>
        <w:t xml:space="preserve">Thank you to </w:t>
      </w:r>
      <w:r>
        <w:rPr>
          <w:rFonts w:cs="Arial"/>
          <w:color w:val="000000"/>
          <w:szCs w:val="22"/>
        </w:rPr>
        <w:t xml:space="preserve">Denise Wilson, Professor Māori Health, AUT, </w:t>
      </w:r>
      <w:r w:rsidRPr="002737FF">
        <w:rPr>
          <w:rFonts w:cs="Arial"/>
          <w:color w:val="000000"/>
          <w:szCs w:val="22"/>
        </w:rPr>
        <w:t xml:space="preserve">for </w:t>
      </w:r>
      <w:r>
        <w:rPr>
          <w:rFonts w:cs="Arial"/>
          <w:color w:val="000000"/>
          <w:szCs w:val="22"/>
        </w:rPr>
        <w:t xml:space="preserve">her </w:t>
      </w:r>
      <w:r w:rsidRPr="002737FF">
        <w:rPr>
          <w:rFonts w:cs="Arial"/>
          <w:color w:val="000000"/>
          <w:szCs w:val="22"/>
        </w:rPr>
        <w:t xml:space="preserve">feedback on </w:t>
      </w:r>
      <w:r>
        <w:rPr>
          <w:rFonts w:cs="Arial"/>
          <w:color w:val="000000"/>
          <w:szCs w:val="22"/>
        </w:rPr>
        <w:t>an earlier version</w:t>
      </w:r>
      <w:r w:rsidRPr="002737FF">
        <w:rPr>
          <w:rFonts w:cs="Arial"/>
          <w:color w:val="000000"/>
          <w:szCs w:val="22"/>
        </w:rPr>
        <w:t xml:space="preserve"> of this paper.</w:t>
      </w:r>
      <w:bookmarkStart w:id="1" w:name="_Toc431303457"/>
      <w:bookmarkStart w:id="2" w:name="_Toc403060526"/>
      <w:bookmarkStart w:id="3" w:name="_Toc403133449"/>
      <w:bookmarkStart w:id="4" w:name="_Toc403410386"/>
      <w:bookmarkStart w:id="5" w:name="_Toc466370940"/>
      <w:bookmarkEnd w:id="1"/>
      <w:bookmarkEnd w:id="2"/>
      <w:bookmarkEnd w:id="3"/>
      <w:bookmarkEnd w:id="4"/>
      <w:bookmarkEnd w:id="5"/>
    </w:p>
    <w:p w14:paraId="0FF98065" w14:textId="77777777" w:rsidR="00187209" w:rsidRDefault="00187209" w:rsidP="00A34A13">
      <w:pPr>
        <w:pStyle w:val="Affiliations"/>
        <w:rPr>
          <w:rFonts w:cs="Arial"/>
          <w:color w:val="000000"/>
          <w:szCs w:val="22"/>
        </w:rPr>
      </w:pPr>
    </w:p>
    <w:p w14:paraId="1D3D7BE2" w14:textId="33E9DAFA" w:rsidR="00187209" w:rsidRPr="00187209" w:rsidRDefault="00187209" w:rsidP="00187209">
      <w:pPr>
        <w:tabs>
          <w:tab w:val="left" w:pos="720"/>
          <w:tab w:val="left" w:pos="1440"/>
          <w:tab w:val="left" w:pos="2160"/>
          <w:tab w:val="left" w:pos="2880"/>
          <w:tab w:val="left" w:pos="3600"/>
          <w:tab w:val="left" w:pos="4320"/>
        </w:tabs>
        <w:ind w:left="720" w:hanging="720"/>
        <w:rPr>
          <w:b/>
          <w:color w:val="17365D"/>
          <w:sz w:val="32"/>
          <w:szCs w:val="32"/>
        </w:rPr>
      </w:pPr>
      <w:bookmarkStart w:id="6" w:name="_Toc536817033"/>
      <w:bookmarkStart w:id="7" w:name="_Toc328480613"/>
      <w:bookmarkStart w:id="8" w:name="_Toc431303449"/>
      <w:bookmarkEnd w:id="6"/>
      <w:r w:rsidRPr="00187209">
        <w:rPr>
          <w:b/>
          <w:color w:val="17365D"/>
          <w:sz w:val="32"/>
          <w:szCs w:val="32"/>
        </w:rPr>
        <w:t>Glossary</w:t>
      </w:r>
      <w:bookmarkEnd w:id="7"/>
    </w:p>
    <w:tbl>
      <w:tblPr>
        <w:tblW w:w="918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227"/>
        <w:gridCol w:w="5954"/>
      </w:tblGrid>
      <w:tr w:rsidR="00187209" w:rsidRPr="00282373" w14:paraId="7EB9D6E6" w14:textId="77777777" w:rsidTr="003962D7">
        <w:trPr>
          <w:trHeight w:val="397"/>
        </w:trPr>
        <w:tc>
          <w:tcPr>
            <w:tcW w:w="3227" w:type="dxa"/>
            <w:shd w:val="clear" w:color="auto" w:fill="4F81BD"/>
          </w:tcPr>
          <w:p w14:paraId="5AC656D5" w14:textId="77777777" w:rsidR="00187209" w:rsidRPr="003F5CA8" w:rsidRDefault="00187209" w:rsidP="004B02AC">
            <w:pPr>
              <w:spacing w:before="120" w:after="120" w:line="240" w:lineRule="auto"/>
              <w:rPr>
                <w:rFonts w:cs="Arial"/>
                <w:b/>
                <w:bCs/>
                <w:color w:val="FFFFFF"/>
                <w:szCs w:val="20"/>
              </w:rPr>
            </w:pPr>
            <w:r w:rsidRPr="003F5CA8">
              <w:rPr>
                <w:rFonts w:cs="Arial"/>
                <w:b/>
                <w:bCs/>
                <w:color w:val="FFFFFF"/>
                <w:szCs w:val="20"/>
              </w:rPr>
              <w:t>Term</w:t>
            </w:r>
          </w:p>
        </w:tc>
        <w:tc>
          <w:tcPr>
            <w:tcW w:w="5954" w:type="dxa"/>
            <w:tcBorders>
              <w:bottom w:val="single" w:sz="8" w:space="0" w:color="4F81BD"/>
            </w:tcBorders>
            <w:shd w:val="clear" w:color="auto" w:fill="4F81BD"/>
          </w:tcPr>
          <w:p w14:paraId="05FE1009" w14:textId="77777777" w:rsidR="00187209" w:rsidRPr="003F5CA8" w:rsidRDefault="00187209" w:rsidP="004B02AC">
            <w:pPr>
              <w:spacing w:before="120" w:after="120" w:line="240" w:lineRule="auto"/>
              <w:rPr>
                <w:rFonts w:cs="Arial"/>
                <w:b/>
                <w:bCs/>
                <w:color w:val="FFFFFF"/>
                <w:szCs w:val="20"/>
              </w:rPr>
            </w:pPr>
            <w:r w:rsidRPr="003F5CA8">
              <w:rPr>
                <w:rFonts w:cs="Arial"/>
                <w:b/>
                <w:bCs/>
                <w:color w:val="FFFFFF"/>
                <w:szCs w:val="20"/>
              </w:rPr>
              <w:t>Definition</w:t>
            </w:r>
          </w:p>
        </w:tc>
      </w:tr>
      <w:tr w:rsidR="00187209" w:rsidRPr="00282373" w14:paraId="68705383"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A762726" w14:textId="632E6447"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A</w:t>
            </w:r>
            <w:r w:rsidR="00187209" w:rsidRPr="00F37D6C">
              <w:rPr>
                <w:rFonts w:cs="Arial"/>
                <w:color w:val="000000" w:themeColor="text1"/>
                <w:szCs w:val="22"/>
              </w:rPr>
              <w:t>wa</w:t>
            </w:r>
          </w:p>
        </w:tc>
        <w:tc>
          <w:tcPr>
            <w:tcW w:w="5954" w:type="dxa"/>
            <w:tcBorders>
              <w:top w:val="single" w:sz="8" w:space="0" w:color="4F81BD"/>
              <w:left w:val="single" w:sz="4" w:space="0" w:color="1F497D"/>
              <w:bottom w:val="single" w:sz="8" w:space="0" w:color="4F81BD"/>
            </w:tcBorders>
          </w:tcPr>
          <w:p w14:paraId="61C89E5D" w14:textId="4B2B2B2C"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R</w:t>
            </w:r>
            <w:r w:rsidR="00187209" w:rsidRPr="00F37D6C">
              <w:rPr>
                <w:rFonts w:cs="Arial"/>
                <w:color w:val="000000" w:themeColor="text1"/>
                <w:szCs w:val="22"/>
                <w:lang w:val="en-US"/>
              </w:rPr>
              <w:t>iver</w:t>
            </w:r>
          </w:p>
        </w:tc>
      </w:tr>
      <w:tr w:rsidR="00187209" w:rsidRPr="00282373" w14:paraId="723D3AD9"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840C0DA" w14:textId="6BD8F692" w:rsidR="00187209" w:rsidRPr="00F37D6C" w:rsidRDefault="005030D8" w:rsidP="00187209">
            <w:pPr>
              <w:spacing w:before="40" w:after="40" w:line="240" w:lineRule="auto"/>
              <w:rPr>
                <w:rFonts w:cs="Arial"/>
                <w:bCs/>
                <w:color w:val="000000" w:themeColor="text1"/>
                <w:szCs w:val="22"/>
              </w:rPr>
            </w:pPr>
            <w:r w:rsidRPr="00F37D6C">
              <w:rPr>
                <w:rFonts w:cs="Arial"/>
                <w:bCs/>
                <w:color w:val="000000" w:themeColor="text1"/>
                <w:szCs w:val="22"/>
              </w:rPr>
              <w:t>H</w:t>
            </w:r>
            <w:r w:rsidR="00187209" w:rsidRPr="00F37D6C">
              <w:rPr>
                <w:rFonts w:cs="Arial"/>
                <w:bCs/>
                <w:color w:val="000000" w:themeColor="text1"/>
                <w:szCs w:val="22"/>
              </w:rPr>
              <w:t>apū</w:t>
            </w:r>
          </w:p>
        </w:tc>
        <w:tc>
          <w:tcPr>
            <w:tcW w:w="5954" w:type="dxa"/>
            <w:tcBorders>
              <w:top w:val="single" w:sz="8" w:space="0" w:color="4F81BD"/>
              <w:left w:val="single" w:sz="4" w:space="0" w:color="1F497D"/>
              <w:bottom w:val="single" w:sz="8" w:space="0" w:color="4F81BD"/>
            </w:tcBorders>
          </w:tcPr>
          <w:p w14:paraId="27333321" w14:textId="77777777" w:rsidR="00187209" w:rsidRPr="00F37D6C" w:rsidRDefault="00187209" w:rsidP="00187209">
            <w:pPr>
              <w:spacing w:before="40" w:after="40" w:line="240" w:lineRule="auto"/>
              <w:rPr>
                <w:rFonts w:cs="Arial"/>
                <w:color w:val="000000" w:themeColor="text1"/>
                <w:szCs w:val="22"/>
              </w:rPr>
            </w:pPr>
            <w:r w:rsidRPr="00F37D6C">
              <w:rPr>
                <w:rFonts w:cs="Arial"/>
                <w:color w:val="000000" w:themeColor="text1"/>
                <w:szCs w:val="22"/>
              </w:rPr>
              <w:t>Sub tribal group</w:t>
            </w:r>
          </w:p>
        </w:tc>
      </w:tr>
      <w:tr w:rsidR="00187209" w:rsidRPr="00282373" w14:paraId="0F72F89A"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2078A13" w14:textId="13E7352A" w:rsidR="00187209" w:rsidRPr="00F37D6C" w:rsidRDefault="005030D8" w:rsidP="005030D8">
            <w:pPr>
              <w:spacing w:before="40" w:after="40" w:line="240" w:lineRule="auto"/>
              <w:rPr>
                <w:rFonts w:cs="Arial"/>
                <w:bCs/>
                <w:color w:val="000000" w:themeColor="text1"/>
                <w:szCs w:val="22"/>
              </w:rPr>
            </w:pPr>
            <w:r w:rsidRPr="00F37D6C">
              <w:rPr>
                <w:rFonts w:cs="Arial"/>
                <w:bCs/>
                <w:color w:val="000000" w:themeColor="text1"/>
                <w:szCs w:val="22"/>
              </w:rPr>
              <w:t>I</w:t>
            </w:r>
            <w:r w:rsidR="00187209" w:rsidRPr="00F37D6C">
              <w:rPr>
                <w:rFonts w:cs="Arial"/>
                <w:bCs/>
                <w:color w:val="000000" w:themeColor="text1"/>
                <w:szCs w:val="22"/>
              </w:rPr>
              <w:t>wi</w:t>
            </w:r>
          </w:p>
        </w:tc>
        <w:tc>
          <w:tcPr>
            <w:tcW w:w="5954" w:type="dxa"/>
            <w:tcBorders>
              <w:top w:val="single" w:sz="8" w:space="0" w:color="4F81BD"/>
              <w:left w:val="single" w:sz="4" w:space="0" w:color="1F497D"/>
              <w:bottom w:val="single" w:sz="8" w:space="0" w:color="4F81BD"/>
            </w:tcBorders>
          </w:tcPr>
          <w:p w14:paraId="6648BC76" w14:textId="77777777" w:rsidR="00187209" w:rsidRPr="00F37D6C" w:rsidRDefault="00187209" w:rsidP="00187209">
            <w:pPr>
              <w:spacing w:before="40" w:after="40" w:line="240" w:lineRule="auto"/>
              <w:rPr>
                <w:rFonts w:cs="Arial"/>
                <w:color w:val="000000" w:themeColor="text1"/>
                <w:szCs w:val="22"/>
              </w:rPr>
            </w:pPr>
            <w:r w:rsidRPr="00F37D6C">
              <w:rPr>
                <w:rFonts w:cs="Arial"/>
                <w:color w:val="000000" w:themeColor="text1"/>
                <w:szCs w:val="22"/>
              </w:rPr>
              <w:t>Tribal group</w:t>
            </w:r>
          </w:p>
        </w:tc>
      </w:tr>
      <w:tr w:rsidR="00187209" w:rsidRPr="00282373" w14:paraId="5291DC42"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48B7D77A" w14:textId="67E7AC9C"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K</w:t>
            </w:r>
            <w:r w:rsidR="00187209" w:rsidRPr="00F37D6C">
              <w:rPr>
                <w:rFonts w:cs="Arial"/>
                <w:color w:val="000000" w:themeColor="text1"/>
                <w:szCs w:val="22"/>
              </w:rPr>
              <w:t>aumātua</w:t>
            </w:r>
          </w:p>
        </w:tc>
        <w:tc>
          <w:tcPr>
            <w:tcW w:w="5954" w:type="dxa"/>
            <w:tcBorders>
              <w:top w:val="single" w:sz="8" w:space="0" w:color="4F81BD"/>
              <w:left w:val="single" w:sz="4" w:space="0" w:color="1F497D"/>
              <w:bottom w:val="single" w:sz="8" w:space="0" w:color="4F81BD"/>
            </w:tcBorders>
          </w:tcPr>
          <w:p w14:paraId="4FD2519D" w14:textId="73FBEF1E"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E</w:t>
            </w:r>
            <w:r w:rsidR="00187209" w:rsidRPr="00F37D6C">
              <w:rPr>
                <w:rFonts w:cs="Arial"/>
                <w:color w:val="000000" w:themeColor="text1"/>
                <w:szCs w:val="22"/>
                <w:lang w:val="en-US"/>
              </w:rPr>
              <w:t>lder</w:t>
            </w:r>
          </w:p>
        </w:tc>
      </w:tr>
      <w:tr w:rsidR="00187209" w:rsidRPr="00282373" w14:paraId="04B967E9"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40BBC337" w14:textId="34008CDE"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K</w:t>
            </w:r>
            <w:r w:rsidR="00187209" w:rsidRPr="00F37D6C">
              <w:rPr>
                <w:rFonts w:cs="Arial"/>
                <w:color w:val="000000" w:themeColor="text1"/>
                <w:szCs w:val="22"/>
                <w:lang w:val="en-US"/>
              </w:rPr>
              <w:t>aupapa</w:t>
            </w:r>
          </w:p>
        </w:tc>
        <w:tc>
          <w:tcPr>
            <w:tcW w:w="5954" w:type="dxa"/>
            <w:tcBorders>
              <w:top w:val="single" w:sz="8" w:space="0" w:color="4F81BD"/>
              <w:left w:val="single" w:sz="4" w:space="0" w:color="1F497D"/>
              <w:bottom w:val="single" w:sz="8" w:space="0" w:color="4F81BD"/>
            </w:tcBorders>
          </w:tcPr>
          <w:p w14:paraId="7E3CFCC1"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Philosophy, framework</w:t>
            </w:r>
          </w:p>
        </w:tc>
      </w:tr>
      <w:tr w:rsidR="00187209" w:rsidRPr="00282373" w14:paraId="784640C6"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57D4096B" w14:textId="4B8B8B3D"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K</w:t>
            </w:r>
            <w:r w:rsidR="00187209" w:rsidRPr="00F37D6C">
              <w:rPr>
                <w:rFonts w:cs="Arial"/>
                <w:color w:val="000000" w:themeColor="text1"/>
                <w:szCs w:val="22"/>
              </w:rPr>
              <w:t>aupapa Māori</w:t>
            </w:r>
          </w:p>
        </w:tc>
        <w:tc>
          <w:tcPr>
            <w:tcW w:w="5954" w:type="dxa"/>
            <w:tcBorders>
              <w:top w:val="single" w:sz="8" w:space="0" w:color="4F81BD"/>
              <w:left w:val="single" w:sz="4" w:space="0" w:color="1F497D"/>
              <w:bottom w:val="single" w:sz="8" w:space="0" w:color="4F81BD"/>
            </w:tcBorders>
          </w:tcPr>
          <w:p w14:paraId="7C7A3B6A"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cultural and philosophical approach</w:t>
            </w:r>
          </w:p>
        </w:tc>
      </w:tr>
      <w:tr w:rsidR="00187209" w:rsidRPr="00282373" w14:paraId="054F8018"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A2FE218" w14:textId="427B311B"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K</w:t>
            </w:r>
            <w:r w:rsidR="00187209" w:rsidRPr="00F37D6C">
              <w:rPr>
                <w:rFonts w:cs="Arial"/>
                <w:color w:val="000000" w:themeColor="text1"/>
                <w:szCs w:val="22"/>
              </w:rPr>
              <w:t>ura</w:t>
            </w:r>
          </w:p>
        </w:tc>
        <w:tc>
          <w:tcPr>
            <w:tcW w:w="5954" w:type="dxa"/>
            <w:tcBorders>
              <w:top w:val="single" w:sz="8" w:space="0" w:color="4F81BD"/>
              <w:left w:val="single" w:sz="4" w:space="0" w:color="1F497D"/>
              <w:bottom w:val="single" w:sz="8" w:space="0" w:color="4F81BD"/>
            </w:tcBorders>
          </w:tcPr>
          <w:p w14:paraId="5A01776D"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schooling option</w:t>
            </w:r>
          </w:p>
        </w:tc>
      </w:tr>
      <w:tr w:rsidR="00187209" w:rsidRPr="00282373" w14:paraId="2F585A63"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55F1D6FC" w14:textId="24D18609"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w:t>
            </w:r>
            <w:r w:rsidR="00187209" w:rsidRPr="00F37D6C">
              <w:rPr>
                <w:rFonts w:cs="Arial"/>
                <w:color w:val="000000" w:themeColor="text1"/>
                <w:szCs w:val="22"/>
                <w:lang w:val="en-US"/>
              </w:rPr>
              <w:t>amae</w:t>
            </w:r>
          </w:p>
        </w:tc>
        <w:tc>
          <w:tcPr>
            <w:tcW w:w="5954" w:type="dxa"/>
            <w:tcBorders>
              <w:top w:val="single" w:sz="8" w:space="0" w:color="4F81BD"/>
              <w:left w:val="single" w:sz="4" w:space="0" w:color="1F497D"/>
              <w:bottom w:val="single" w:sz="8" w:space="0" w:color="4F81BD"/>
            </w:tcBorders>
          </w:tcPr>
          <w:p w14:paraId="39D15937"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Hurt, pain</w:t>
            </w:r>
          </w:p>
        </w:tc>
      </w:tr>
      <w:tr w:rsidR="00187209" w:rsidRPr="00282373" w14:paraId="35AC59E6"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6B9065C6" w14:textId="5D31276D"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w:t>
            </w:r>
            <w:r w:rsidR="00187209" w:rsidRPr="00F37D6C">
              <w:rPr>
                <w:rFonts w:cs="Arial"/>
                <w:color w:val="000000" w:themeColor="text1"/>
                <w:szCs w:val="22"/>
                <w:lang w:val="en-US"/>
              </w:rPr>
              <w:t>ana</w:t>
            </w:r>
          </w:p>
        </w:tc>
        <w:tc>
          <w:tcPr>
            <w:tcW w:w="5954" w:type="dxa"/>
            <w:tcBorders>
              <w:top w:val="single" w:sz="8" w:space="0" w:color="4F81BD"/>
              <w:left w:val="single" w:sz="4" w:space="0" w:color="1F497D"/>
              <w:bottom w:val="single" w:sz="8" w:space="0" w:color="4F81BD"/>
            </w:tcBorders>
          </w:tcPr>
          <w:p w14:paraId="1D9D46A8"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Status, prestige, spiritual power, integrity</w:t>
            </w:r>
          </w:p>
        </w:tc>
      </w:tr>
      <w:tr w:rsidR="00187209" w:rsidRPr="00282373" w14:paraId="4255F2F6"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0018F3E" w14:textId="00C3CA0D"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w:t>
            </w:r>
            <w:r w:rsidR="00187209" w:rsidRPr="00F37D6C">
              <w:rPr>
                <w:rFonts w:cs="Arial"/>
                <w:color w:val="000000" w:themeColor="text1"/>
                <w:szCs w:val="22"/>
                <w:lang w:val="en-US"/>
              </w:rPr>
              <w:t>arae</w:t>
            </w:r>
          </w:p>
        </w:tc>
        <w:tc>
          <w:tcPr>
            <w:tcW w:w="5954" w:type="dxa"/>
            <w:tcBorders>
              <w:top w:val="single" w:sz="8" w:space="0" w:color="4F81BD"/>
              <w:left w:val="single" w:sz="4" w:space="0" w:color="1F497D"/>
              <w:bottom w:val="single" w:sz="8" w:space="0" w:color="4F81BD"/>
            </w:tcBorders>
          </w:tcPr>
          <w:p w14:paraId="46E10A53"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gathering place</w:t>
            </w:r>
          </w:p>
        </w:tc>
      </w:tr>
      <w:tr w:rsidR="00187209" w:rsidRPr="00282373" w14:paraId="5F4C6A91"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765694EA" w14:textId="18B82CCB"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M</w:t>
            </w:r>
            <w:r w:rsidR="00187209" w:rsidRPr="00F37D6C">
              <w:rPr>
                <w:rFonts w:cs="Arial"/>
                <w:color w:val="000000" w:themeColor="text1"/>
                <w:szCs w:val="22"/>
              </w:rPr>
              <w:t>ātauranga</w:t>
            </w:r>
          </w:p>
        </w:tc>
        <w:tc>
          <w:tcPr>
            <w:tcW w:w="5954" w:type="dxa"/>
            <w:tcBorders>
              <w:top w:val="single" w:sz="8" w:space="0" w:color="4F81BD"/>
              <w:left w:val="single" w:sz="4" w:space="0" w:color="1F497D"/>
              <w:bottom w:val="single" w:sz="8" w:space="0" w:color="4F81BD"/>
            </w:tcBorders>
          </w:tcPr>
          <w:p w14:paraId="729BD522"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 xml:space="preserve">Knowledge </w:t>
            </w:r>
          </w:p>
        </w:tc>
      </w:tr>
      <w:tr w:rsidR="00187209" w:rsidRPr="00282373" w14:paraId="24544CB7"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11A12833" w14:textId="37F312FA"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M</w:t>
            </w:r>
            <w:r w:rsidR="00187209" w:rsidRPr="00F37D6C">
              <w:rPr>
                <w:rFonts w:cs="Arial"/>
                <w:color w:val="000000" w:themeColor="text1"/>
                <w:szCs w:val="22"/>
              </w:rPr>
              <w:t>aunga</w:t>
            </w:r>
          </w:p>
        </w:tc>
        <w:tc>
          <w:tcPr>
            <w:tcW w:w="5954" w:type="dxa"/>
            <w:tcBorders>
              <w:top w:val="single" w:sz="8" w:space="0" w:color="4F81BD"/>
              <w:left w:val="single" w:sz="4" w:space="0" w:color="1F497D"/>
              <w:bottom w:val="single" w:sz="8" w:space="0" w:color="4F81BD"/>
            </w:tcBorders>
          </w:tcPr>
          <w:p w14:paraId="6E8FF91A"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Ancestral mountain</w:t>
            </w:r>
          </w:p>
        </w:tc>
      </w:tr>
      <w:tr w:rsidR="00187209" w:rsidRPr="00282373" w14:paraId="7A4AD504"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510FBC1B" w14:textId="496371C2"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w:t>
            </w:r>
            <w:r w:rsidR="00187209" w:rsidRPr="00F37D6C">
              <w:rPr>
                <w:rFonts w:cs="Arial"/>
                <w:color w:val="000000" w:themeColor="text1"/>
                <w:szCs w:val="22"/>
                <w:lang w:val="en-US"/>
              </w:rPr>
              <w:t>auri</w:t>
            </w:r>
          </w:p>
        </w:tc>
        <w:tc>
          <w:tcPr>
            <w:tcW w:w="5954" w:type="dxa"/>
            <w:tcBorders>
              <w:top w:val="single" w:sz="8" w:space="0" w:color="4F81BD"/>
              <w:left w:val="single" w:sz="4" w:space="0" w:color="1F497D"/>
              <w:bottom w:val="single" w:sz="8" w:space="0" w:color="4F81BD"/>
            </w:tcBorders>
          </w:tcPr>
          <w:p w14:paraId="63B0376A"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Life force</w:t>
            </w:r>
          </w:p>
        </w:tc>
      </w:tr>
      <w:tr w:rsidR="00187209" w:rsidRPr="00282373" w14:paraId="7D4D285F"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23DAEFCB" w14:textId="11014535"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M</w:t>
            </w:r>
            <w:r w:rsidR="00187209" w:rsidRPr="00F37D6C">
              <w:rPr>
                <w:rFonts w:cs="Arial"/>
                <w:color w:val="000000" w:themeColor="text1"/>
                <w:szCs w:val="22"/>
              </w:rPr>
              <w:t>oana</w:t>
            </w:r>
          </w:p>
        </w:tc>
        <w:tc>
          <w:tcPr>
            <w:tcW w:w="5954" w:type="dxa"/>
            <w:tcBorders>
              <w:top w:val="single" w:sz="8" w:space="0" w:color="4F81BD"/>
              <w:left w:val="single" w:sz="4" w:space="0" w:color="1F497D"/>
              <w:bottom w:val="single" w:sz="8" w:space="0" w:color="4F81BD"/>
            </w:tcBorders>
          </w:tcPr>
          <w:p w14:paraId="212E039B"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 xml:space="preserve">Sea </w:t>
            </w:r>
          </w:p>
        </w:tc>
      </w:tr>
      <w:tr w:rsidR="00187209" w:rsidRPr="00282373" w14:paraId="70B20BB5"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1412C744" w14:textId="1000891A"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P</w:t>
            </w:r>
            <w:r w:rsidR="00187209" w:rsidRPr="00F37D6C">
              <w:rPr>
                <w:rFonts w:cs="Arial"/>
                <w:color w:val="000000" w:themeColor="text1"/>
                <w:szCs w:val="22"/>
                <w:lang w:val="en-US"/>
              </w:rPr>
              <w:t>atu ngākau</w:t>
            </w:r>
          </w:p>
        </w:tc>
        <w:tc>
          <w:tcPr>
            <w:tcW w:w="5954" w:type="dxa"/>
            <w:tcBorders>
              <w:top w:val="single" w:sz="8" w:space="0" w:color="4F81BD"/>
              <w:left w:val="single" w:sz="4" w:space="0" w:color="1F497D"/>
              <w:bottom w:val="single" w:sz="8" w:space="0" w:color="4F81BD"/>
            </w:tcBorders>
          </w:tcPr>
          <w:p w14:paraId="2F732DD5"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Beating heart or soul, trauma</w:t>
            </w:r>
          </w:p>
        </w:tc>
      </w:tr>
      <w:tr w:rsidR="00187209" w:rsidRPr="00282373" w14:paraId="0ACD108F"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79781BF5" w14:textId="4572713A"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P</w:t>
            </w:r>
            <w:r w:rsidR="00187209" w:rsidRPr="00F37D6C">
              <w:rPr>
                <w:rFonts w:cs="Arial"/>
                <w:color w:val="000000" w:themeColor="text1"/>
                <w:szCs w:val="22"/>
                <w:lang w:val="en-US"/>
              </w:rPr>
              <w:t>ouri</w:t>
            </w:r>
          </w:p>
        </w:tc>
        <w:tc>
          <w:tcPr>
            <w:tcW w:w="5954" w:type="dxa"/>
            <w:tcBorders>
              <w:top w:val="single" w:sz="8" w:space="0" w:color="4F81BD"/>
              <w:left w:val="single" w:sz="4" w:space="0" w:color="1F497D"/>
              <w:bottom w:val="single" w:sz="8" w:space="0" w:color="4F81BD"/>
            </w:tcBorders>
          </w:tcPr>
          <w:p w14:paraId="0FD573ED"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 xml:space="preserve">Sadness </w:t>
            </w:r>
          </w:p>
        </w:tc>
      </w:tr>
      <w:tr w:rsidR="00187209" w:rsidRPr="00282373" w14:paraId="01C53D37"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78010008" w14:textId="520A1EA3"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P</w:t>
            </w:r>
            <w:r w:rsidR="00187209" w:rsidRPr="00F37D6C">
              <w:rPr>
                <w:rFonts w:cs="Arial"/>
                <w:color w:val="000000" w:themeColor="text1"/>
                <w:szCs w:val="22"/>
              </w:rPr>
              <w:t>ūrākau</w:t>
            </w:r>
          </w:p>
        </w:tc>
        <w:tc>
          <w:tcPr>
            <w:tcW w:w="5954" w:type="dxa"/>
            <w:tcBorders>
              <w:top w:val="single" w:sz="8" w:space="0" w:color="4F81BD"/>
              <w:left w:val="single" w:sz="4" w:space="0" w:color="1F497D"/>
              <w:bottom w:val="single" w:sz="8" w:space="0" w:color="4F81BD"/>
            </w:tcBorders>
          </w:tcPr>
          <w:p w14:paraId="596B3B0D"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traditional story</w:t>
            </w:r>
          </w:p>
        </w:tc>
      </w:tr>
      <w:tr w:rsidR="00187209" w:rsidRPr="00282373" w14:paraId="15CEE0DF" w14:textId="77777777" w:rsidTr="003962D7">
        <w:trPr>
          <w:trHeight w:val="397"/>
        </w:trPr>
        <w:tc>
          <w:tcPr>
            <w:tcW w:w="3227" w:type="dxa"/>
            <w:tcBorders>
              <w:right w:val="single" w:sz="4" w:space="0" w:color="1F497D"/>
            </w:tcBorders>
          </w:tcPr>
          <w:p w14:paraId="06CA1225" w14:textId="0456F2BE" w:rsidR="00187209" w:rsidRPr="00F37D6C" w:rsidRDefault="005030D8" w:rsidP="00187209">
            <w:pPr>
              <w:spacing w:before="40" w:after="40" w:line="240" w:lineRule="auto"/>
              <w:rPr>
                <w:rFonts w:cs="Arial"/>
                <w:b/>
                <w:bCs/>
                <w:color w:val="000000" w:themeColor="text1"/>
                <w:szCs w:val="22"/>
              </w:rPr>
            </w:pPr>
            <w:r w:rsidRPr="00F37D6C">
              <w:rPr>
                <w:rFonts w:cs="Arial"/>
                <w:color w:val="000000" w:themeColor="text1"/>
                <w:szCs w:val="22"/>
              </w:rPr>
              <w:t>T</w:t>
            </w:r>
            <w:r w:rsidR="00187209" w:rsidRPr="00F37D6C">
              <w:rPr>
                <w:rFonts w:cs="Arial"/>
                <w:color w:val="000000" w:themeColor="text1"/>
                <w:szCs w:val="22"/>
              </w:rPr>
              <w:t>amariki</w:t>
            </w:r>
          </w:p>
        </w:tc>
        <w:tc>
          <w:tcPr>
            <w:tcW w:w="5954" w:type="dxa"/>
            <w:tcBorders>
              <w:top w:val="single" w:sz="8" w:space="0" w:color="4F81BD"/>
              <w:left w:val="single" w:sz="4" w:space="0" w:color="1F497D"/>
              <w:bottom w:val="single" w:sz="8" w:space="0" w:color="4F81BD"/>
            </w:tcBorders>
          </w:tcPr>
          <w:p w14:paraId="1126BA89" w14:textId="77777777" w:rsidR="00187209" w:rsidRPr="00F37D6C" w:rsidRDefault="00187209" w:rsidP="00187209">
            <w:pPr>
              <w:spacing w:before="40" w:after="40" w:line="240" w:lineRule="auto"/>
              <w:rPr>
                <w:rFonts w:cs="Arial"/>
                <w:color w:val="000000" w:themeColor="text1"/>
                <w:szCs w:val="22"/>
                <w:vertAlign w:val="superscript"/>
              </w:rPr>
            </w:pPr>
            <w:r w:rsidRPr="00F37D6C">
              <w:rPr>
                <w:rFonts w:cs="Arial"/>
                <w:color w:val="000000" w:themeColor="text1"/>
                <w:szCs w:val="22"/>
                <w:lang w:val="en-US"/>
              </w:rPr>
              <w:t xml:space="preserve">Children </w:t>
            </w:r>
          </w:p>
        </w:tc>
      </w:tr>
      <w:tr w:rsidR="00187209" w:rsidRPr="00282373" w14:paraId="0FF6CE22"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C957DB4" w14:textId="77AD8250"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lang w:val="en-US"/>
              </w:rPr>
              <w:t>T</w:t>
            </w:r>
            <w:r w:rsidR="00187209" w:rsidRPr="00F37D6C">
              <w:rPr>
                <w:rFonts w:cs="Arial"/>
                <w:color w:val="000000" w:themeColor="text1"/>
                <w:szCs w:val="22"/>
                <w:lang w:val="en-US"/>
              </w:rPr>
              <w:t>angata whenua</w:t>
            </w:r>
          </w:p>
        </w:tc>
        <w:tc>
          <w:tcPr>
            <w:tcW w:w="5954" w:type="dxa"/>
            <w:tcBorders>
              <w:top w:val="single" w:sz="8" w:space="0" w:color="4F81BD"/>
              <w:left w:val="single" w:sz="4" w:space="0" w:color="1F497D"/>
              <w:bottom w:val="single" w:sz="8" w:space="0" w:color="4F81BD"/>
            </w:tcBorders>
          </w:tcPr>
          <w:p w14:paraId="4E042470"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People of the land, Indigenous</w:t>
            </w:r>
          </w:p>
        </w:tc>
      </w:tr>
      <w:tr w:rsidR="00187209" w:rsidRPr="00282373" w14:paraId="38C3F41C"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0A4EA1FB" w14:textId="53B9696D"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T</w:t>
            </w:r>
            <w:r w:rsidR="00187209" w:rsidRPr="00F37D6C">
              <w:rPr>
                <w:rFonts w:cs="Arial"/>
                <w:color w:val="000000" w:themeColor="text1"/>
                <w:szCs w:val="22"/>
              </w:rPr>
              <w:t>apu</w:t>
            </w:r>
          </w:p>
        </w:tc>
        <w:tc>
          <w:tcPr>
            <w:tcW w:w="5954" w:type="dxa"/>
            <w:tcBorders>
              <w:top w:val="single" w:sz="8" w:space="0" w:color="4F81BD"/>
              <w:left w:val="single" w:sz="4" w:space="0" w:color="1F497D"/>
              <w:bottom w:val="single" w:sz="8" w:space="0" w:color="4F81BD"/>
            </w:tcBorders>
          </w:tcPr>
          <w:p w14:paraId="05A8D36F"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 xml:space="preserve">Sacred </w:t>
            </w:r>
          </w:p>
        </w:tc>
      </w:tr>
      <w:tr w:rsidR="00187209" w:rsidRPr="00282373" w14:paraId="09E3FC16"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5078A525" w14:textId="77E0645E"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T</w:t>
            </w:r>
            <w:r w:rsidR="00187209" w:rsidRPr="00F37D6C">
              <w:rPr>
                <w:rFonts w:cs="Arial"/>
                <w:color w:val="000000" w:themeColor="text1"/>
                <w:szCs w:val="22"/>
              </w:rPr>
              <w:t>e ao hurihuri</w:t>
            </w:r>
          </w:p>
        </w:tc>
        <w:tc>
          <w:tcPr>
            <w:tcW w:w="5954" w:type="dxa"/>
            <w:tcBorders>
              <w:top w:val="single" w:sz="8" w:space="0" w:color="4F81BD"/>
              <w:left w:val="single" w:sz="4" w:space="0" w:color="1F497D"/>
              <w:bottom w:val="single" w:sz="8" w:space="0" w:color="4F81BD"/>
            </w:tcBorders>
          </w:tcPr>
          <w:p w14:paraId="3F646784"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The changing world</w:t>
            </w:r>
          </w:p>
        </w:tc>
      </w:tr>
      <w:tr w:rsidR="00187209" w:rsidRPr="00282373" w14:paraId="61773659"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0A4A9643" w14:textId="6A13AD2D"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T</w:t>
            </w:r>
            <w:r w:rsidR="00187209" w:rsidRPr="00F37D6C">
              <w:rPr>
                <w:rFonts w:cs="Arial"/>
                <w:color w:val="000000" w:themeColor="text1"/>
                <w:szCs w:val="22"/>
              </w:rPr>
              <w:t>e ao Māori</w:t>
            </w:r>
          </w:p>
        </w:tc>
        <w:tc>
          <w:tcPr>
            <w:tcW w:w="5954" w:type="dxa"/>
            <w:tcBorders>
              <w:top w:val="single" w:sz="8" w:space="0" w:color="4F81BD"/>
              <w:left w:val="single" w:sz="4" w:space="0" w:color="1F497D"/>
              <w:bottom w:val="single" w:sz="8" w:space="0" w:color="4F81BD"/>
            </w:tcBorders>
          </w:tcPr>
          <w:p w14:paraId="6A7339A4"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world</w:t>
            </w:r>
          </w:p>
        </w:tc>
      </w:tr>
      <w:tr w:rsidR="00187209" w:rsidRPr="00282373" w14:paraId="1FE0D5A1"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56CD225" w14:textId="61E87887"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lang w:val="en-US"/>
              </w:rPr>
              <w:t>T</w:t>
            </w:r>
            <w:r w:rsidR="00187209" w:rsidRPr="00F37D6C">
              <w:rPr>
                <w:rFonts w:cs="Arial"/>
                <w:color w:val="000000" w:themeColor="text1"/>
                <w:szCs w:val="22"/>
                <w:lang w:val="en-US"/>
              </w:rPr>
              <w:t>e reo</w:t>
            </w:r>
          </w:p>
        </w:tc>
        <w:tc>
          <w:tcPr>
            <w:tcW w:w="5954" w:type="dxa"/>
            <w:tcBorders>
              <w:top w:val="single" w:sz="8" w:space="0" w:color="4F81BD"/>
              <w:left w:val="single" w:sz="4" w:space="0" w:color="1F497D"/>
              <w:bottom w:val="single" w:sz="8" w:space="0" w:color="4F81BD"/>
            </w:tcBorders>
          </w:tcPr>
          <w:p w14:paraId="2AC698CE"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Language, voice</w:t>
            </w:r>
          </w:p>
        </w:tc>
      </w:tr>
      <w:tr w:rsidR="00187209" w:rsidRPr="00282373" w14:paraId="0592FDC9"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0F703D36" w14:textId="790E5C83" w:rsidR="00187209" w:rsidRPr="00F37D6C" w:rsidRDefault="005030D8" w:rsidP="00187209">
            <w:pPr>
              <w:spacing w:before="40" w:after="40" w:line="240" w:lineRule="auto"/>
              <w:rPr>
                <w:rFonts w:cs="Arial"/>
                <w:b/>
                <w:bCs/>
                <w:color w:val="000000" w:themeColor="text1"/>
                <w:szCs w:val="22"/>
              </w:rPr>
            </w:pPr>
            <w:r w:rsidRPr="00F37D6C">
              <w:rPr>
                <w:rFonts w:cs="Arial"/>
                <w:color w:val="000000" w:themeColor="text1"/>
                <w:szCs w:val="22"/>
              </w:rPr>
              <w:t>T</w:t>
            </w:r>
            <w:r w:rsidR="00187209" w:rsidRPr="00F37D6C">
              <w:rPr>
                <w:rFonts w:cs="Arial"/>
                <w:color w:val="000000" w:themeColor="text1"/>
                <w:szCs w:val="22"/>
              </w:rPr>
              <w:t>ikanga</w:t>
            </w:r>
          </w:p>
        </w:tc>
        <w:tc>
          <w:tcPr>
            <w:tcW w:w="5954" w:type="dxa"/>
            <w:tcBorders>
              <w:top w:val="single" w:sz="8" w:space="0" w:color="4F81BD"/>
              <w:left w:val="single" w:sz="4" w:space="0" w:color="1F497D"/>
              <w:bottom w:val="single" w:sz="8" w:space="0" w:color="4F81BD"/>
            </w:tcBorders>
          </w:tcPr>
          <w:p w14:paraId="5FE8EB2D" w14:textId="77777777" w:rsidR="00187209" w:rsidRPr="00F37D6C" w:rsidRDefault="00187209" w:rsidP="00187209">
            <w:pPr>
              <w:spacing w:before="40" w:after="40" w:line="240" w:lineRule="auto"/>
              <w:rPr>
                <w:rFonts w:cs="Arial"/>
                <w:color w:val="000000" w:themeColor="text1"/>
                <w:szCs w:val="22"/>
              </w:rPr>
            </w:pPr>
            <w:r w:rsidRPr="00F37D6C">
              <w:rPr>
                <w:rFonts w:cs="Arial"/>
                <w:color w:val="000000" w:themeColor="text1"/>
                <w:szCs w:val="22"/>
              </w:rPr>
              <w:t>Māori practices and protocols</w:t>
            </w:r>
          </w:p>
        </w:tc>
      </w:tr>
      <w:tr w:rsidR="00187209" w:rsidRPr="00282373" w14:paraId="61F52174"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731EB2BA" w14:textId="517CD7A0"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T</w:t>
            </w:r>
            <w:r w:rsidR="00187209" w:rsidRPr="00F37D6C">
              <w:rPr>
                <w:rFonts w:cs="Arial"/>
                <w:color w:val="000000" w:themeColor="text1"/>
                <w:szCs w:val="22"/>
              </w:rPr>
              <w:t>ino rangatiratanga</w:t>
            </w:r>
          </w:p>
        </w:tc>
        <w:tc>
          <w:tcPr>
            <w:tcW w:w="5954" w:type="dxa"/>
            <w:tcBorders>
              <w:top w:val="single" w:sz="8" w:space="0" w:color="4F81BD"/>
              <w:left w:val="single" w:sz="4" w:space="0" w:color="1F497D"/>
              <w:bottom w:val="single" w:sz="8" w:space="0" w:color="4F81BD"/>
            </w:tcBorders>
          </w:tcPr>
          <w:p w14:paraId="7BBB77F0"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Self-determination, sovereignty</w:t>
            </w:r>
          </w:p>
        </w:tc>
      </w:tr>
      <w:tr w:rsidR="00187209" w:rsidRPr="00282373" w14:paraId="0CA8F39F"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1411554E" w14:textId="7184EAFF"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T</w:t>
            </w:r>
            <w:r w:rsidR="00187209" w:rsidRPr="00F37D6C">
              <w:rPr>
                <w:rFonts w:cs="Arial"/>
                <w:color w:val="000000" w:themeColor="text1"/>
                <w:szCs w:val="22"/>
              </w:rPr>
              <w:t>ūpuna</w:t>
            </w:r>
          </w:p>
        </w:tc>
        <w:tc>
          <w:tcPr>
            <w:tcW w:w="5954" w:type="dxa"/>
            <w:tcBorders>
              <w:top w:val="single" w:sz="8" w:space="0" w:color="4F81BD"/>
              <w:left w:val="single" w:sz="4" w:space="0" w:color="1F497D"/>
              <w:bottom w:val="single" w:sz="8" w:space="0" w:color="4F81BD"/>
            </w:tcBorders>
          </w:tcPr>
          <w:p w14:paraId="780255F8"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Ancestor</w:t>
            </w:r>
          </w:p>
        </w:tc>
      </w:tr>
      <w:tr w:rsidR="00187209" w:rsidRPr="00282373" w14:paraId="62053DE6"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4896DD39" w14:textId="724D5B95"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T</w:t>
            </w:r>
            <w:r w:rsidR="00187209" w:rsidRPr="00F37D6C">
              <w:rPr>
                <w:rFonts w:cs="Arial"/>
                <w:color w:val="000000" w:themeColor="text1"/>
                <w:szCs w:val="22"/>
              </w:rPr>
              <w:t>ūpuna wahine</w:t>
            </w:r>
          </w:p>
        </w:tc>
        <w:tc>
          <w:tcPr>
            <w:tcW w:w="5954" w:type="dxa"/>
            <w:tcBorders>
              <w:top w:val="single" w:sz="8" w:space="0" w:color="4F81BD"/>
              <w:left w:val="single" w:sz="4" w:space="0" w:color="1F497D"/>
              <w:bottom w:val="single" w:sz="8" w:space="0" w:color="4F81BD"/>
            </w:tcBorders>
          </w:tcPr>
          <w:p w14:paraId="5EB1B1F7"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Female ancestor</w:t>
            </w:r>
          </w:p>
        </w:tc>
      </w:tr>
      <w:tr w:rsidR="00187209" w:rsidRPr="00282373" w14:paraId="0AC7F4D8"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7E249357" w14:textId="7C95B086"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lastRenderedPageBreak/>
              <w:t>W</w:t>
            </w:r>
            <w:r w:rsidR="00187209" w:rsidRPr="00F37D6C">
              <w:rPr>
                <w:rFonts w:cs="Arial"/>
                <w:color w:val="000000" w:themeColor="text1"/>
                <w:szCs w:val="22"/>
              </w:rPr>
              <w:t>ahine atua</w:t>
            </w:r>
          </w:p>
        </w:tc>
        <w:tc>
          <w:tcPr>
            <w:tcW w:w="5954" w:type="dxa"/>
            <w:tcBorders>
              <w:top w:val="single" w:sz="8" w:space="0" w:color="4F81BD"/>
              <w:left w:val="single" w:sz="4" w:space="0" w:color="1F497D"/>
              <w:bottom w:val="single" w:sz="8" w:space="0" w:color="4F81BD"/>
            </w:tcBorders>
          </w:tcPr>
          <w:p w14:paraId="5C357B4C"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Goddess, female deity</w:t>
            </w:r>
          </w:p>
        </w:tc>
      </w:tr>
      <w:tr w:rsidR="00187209" w:rsidRPr="00282373" w14:paraId="74FAC88E"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408BAF7"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rPr>
              <w:t>Wairua</w:t>
            </w:r>
          </w:p>
        </w:tc>
        <w:tc>
          <w:tcPr>
            <w:tcW w:w="5954" w:type="dxa"/>
            <w:tcBorders>
              <w:top w:val="single" w:sz="8" w:space="0" w:color="4F81BD"/>
              <w:left w:val="single" w:sz="4" w:space="0" w:color="1F497D"/>
              <w:bottom w:val="single" w:sz="8" w:space="0" w:color="4F81BD"/>
            </w:tcBorders>
          </w:tcPr>
          <w:p w14:paraId="4DF96DEC"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 xml:space="preserve">Spirit </w:t>
            </w:r>
          </w:p>
        </w:tc>
      </w:tr>
      <w:tr w:rsidR="00187209" w:rsidRPr="00282373" w14:paraId="7E4C80A4"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53ECD6E9" w14:textId="44FA1F45"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W</w:t>
            </w:r>
            <w:r w:rsidR="00187209" w:rsidRPr="00F37D6C">
              <w:rPr>
                <w:rFonts w:cs="Arial"/>
                <w:color w:val="000000" w:themeColor="text1"/>
                <w:szCs w:val="22"/>
              </w:rPr>
              <w:t>hakapapa</w:t>
            </w:r>
          </w:p>
        </w:tc>
        <w:tc>
          <w:tcPr>
            <w:tcW w:w="5954" w:type="dxa"/>
            <w:tcBorders>
              <w:top w:val="single" w:sz="8" w:space="0" w:color="4F81BD"/>
              <w:left w:val="single" w:sz="4" w:space="0" w:color="1F497D"/>
              <w:bottom w:val="single" w:sz="8" w:space="0" w:color="4F81BD"/>
            </w:tcBorders>
          </w:tcPr>
          <w:p w14:paraId="3FFD9511"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Māori cultural genealogical template</w:t>
            </w:r>
          </w:p>
        </w:tc>
      </w:tr>
      <w:tr w:rsidR="003962D7" w:rsidRPr="00282373" w14:paraId="04800C7E"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57F0211E" w14:textId="2C83E301" w:rsidR="003962D7" w:rsidRPr="00F37D6C" w:rsidRDefault="003962D7" w:rsidP="00187209">
            <w:pPr>
              <w:spacing w:before="40" w:after="40" w:line="240" w:lineRule="auto"/>
              <w:rPr>
                <w:rFonts w:cs="Arial"/>
                <w:b/>
                <w:bCs/>
                <w:color w:val="000000" w:themeColor="text1"/>
                <w:szCs w:val="22"/>
              </w:rPr>
            </w:pPr>
            <w:r w:rsidRPr="00F37D6C">
              <w:rPr>
                <w:rFonts w:cs="Arial"/>
                <w:color w:val="000000" w:themeColor="text1"/>
                <w:szCs w:val="22"/>
              </w:rPr>
              <w:t>Whānau</w:t>
            </w:r>
          </w:p>
        </w:tc>
        <w:tc>
          <w:tcPr>
            <w:tcW w:w="5954" w:type="dxa"/>
            <w:tcBorders>
              <w:top w:val="single" w:sz="8" w:space="0" w:color="4F81BD"/>
              <w:left w:val="single" w:sz="4" w:space="0" w:color="1F497D"/>
              <w:bottom w:val="single" w:sz="8" w:space="0" w:color="4F81BD"/>
              <w:right w:val="single" w:sz="4" w:space="0" w:color="auto"/>
            </w:tcBorders>
          </w:tcPr>
          <w:p w14:paraId="32335A62" w14:textId="77777777" w:rsidR="003962D7" w:rsidRPr="00F37D6C" w:rsidRDefault="003962D7" w:rsidP="00187209">
            <w:pPr>
              <w:spacing w:before="40" w:after="40" w:line="240" w:lineRule="auto"/>
              <w:rPr>
                <w:rFonts w:cs="Arial"/>
                <w:color w:val="000000" w:themeColor="text1"/>
                <w:szCs w:val="22"/>
              </w:rPr>
            </w:pPr>
            <w:r w:rsidRPr="00F37D6C">
              <w:rPr>
                <w:rFonts w:cs="Arial"/>
                <w:color w:val="000000" w:themeColor="text1"/>
                <w:szCs w:val="22"/>
              </w:rPr>
              <w:t>Extended family grouping</w:t>
            </w:r>
          </w:p>
        </w:tc>
      </w:tr>
      <w:tr w:rsidR="00187209" w:rsidRPr="00282373" w14:paraId="4459BF11"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3F6BFCF0" w14:textId="6E2C99DD"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rPr>
              <w:t>W</w:t>
            </w:r>
            <w:r w:rsidR="00187209" w:rsidRPr="00F37D6C">
              <w:rPr>
                <w:rFonts w:cs="Arial"/>
                <w:color w:val="000000" w:themeColor="text1"/>
                <w:szCs w:val="22"/>
              </w:rPr>
              <w:t>hanaungatanga</w:t>
            </w:r>
          </w:p>
        </w:tc>
        <w:tc>
          <w:tcPr>
            <w:tcW w:w="5954" w:type="dxa"/>
            <w:tcBorders>
              <w:top w:val="single" w:sz="8" w:space="0" w:color="4F81BD"/>
              <w:left w:val="single" w:sz="4" w:space="0" w:color="1F497D"/>
              <w:bottom w:val="single" w:sz="8" w:space="0" w:color="4F81BD"/>
            </w:tcBorders>
          </w:tcPr>
          <w:p w14:paraId="2CD361C0"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Relationships</w:t>
            </w:r>
          </w:p>
        </w:tc>
      </w:tr>
      <w:tr w:rsidR="00187209" w:rsidRPr="00282373" w14:paraId="314612A9"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4203D17B" w14:textId="21CD6DD1"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W</w:t>
            </w:r>
            <w:r w:rsidR="00187209" w:rsidRPr="00F37D6C">
              <w:rPr>
                <w:rFonts w:cs="Arial"/>
                <w:color w:val="000000" w:themeColor="text1"/>
                <w:szCs w:val="22"/>
              </w:rPr>
              <w:t>hāngai</w:t>
            </w:r>
          </w:p>
        </w:tc>
        <w:tc>
          <w:tcPr>
            <w:tcW w:w="5954" w:type="dxa"/>
            <w:tcBorders>
              <w:top w:val="single" w:sz="8" w:space="0" w:color="4F81BD"/>
              <w:left w:val="single" w:sz="4" w:space="0" w:color="1F497D"/>
              <w:bottom w:val="single" w:sz="8" w:space="0" w:color="4F81BD"/>
            </w:tcBorders>
          </w:tcPr>
          <w:p w14:paraId="27884183"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To feed, to care for</w:t>
            </w:r>
          </w:p>
        </w:tc>
      </w:tr>
      <w:tr w:rsidR="00187209" w:rsidRPr="00282373" w14:paraId="5C578622"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6846AF97" w14:textId="60A53B75" w:rsidR="00187209" w:rsidRPr="00F37D6C" w:rsidRDefault="005030D8" w:rsidP="00187209">
            <w:pPr>
              <w:spacing w:before="40" w:after="40" w:line="240" w:lineRule="auto"/>
              <w:rPr>
                <w:rFonts w:cs="Arial"/>
                <w:color w:val="000000" w:themeColor="text1"/>
                <w:szCs w:val="22"/>
              </w:rPr>
            </w:pPr>
            <w:r w:rsidRPr="00F37D6C">
              <w:rPr>
                <w:rFonts w:cs="Arial"/>
                <w:color w:val="000000" w:themeColor="text1"/>
                <w:szCs w:val="22"/>
                <w:highlight w:val="white"/>
              </w:rPr>
              <w:t>W</w:t>
            </w:r>
            <w:r w:rsidR="00187209" w:rsidRPr="00F37D6C">
              <w:rPr>
                <w:rFonts w:cs="Arial"/>
                <w:color w:val="000000" w:themeColor="text1"/>
                <w:szCs w:val="22"/>
                <w:highlight w:val="white"/>
              </w:rPr>
              <w:t>hare tangata</w:t>
            </w:r>
          </w:p>
        </w:tc>
        <w:tc>
          <w:tcPr>
            <w:tcW w:w="5954" w:type="dxa"/>
            <w:tcBorders>
              <w:top w:val="single" w:sz="8" w:space="0" w:color="4F81BD"/>
              <w:left w:val="single" w:sz="4" w:space="0" w:color="1F497D"/>
              <w:bottom w:val="single" w:sz="8" w:space="0" w:color="4F81BD"/>
            </w:tcBorders>
          </w:tcPr>
          <w:p w14:paraId="7ACB17A8"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Womb, house of the people</w:t>
            </w:r>
          </w:p>
        </w:tc>
      </w:tr>
      <w:tr w:rsidR="00187209" w:rsidRPr="00282373" w14:paraId="31B368FD"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24C1BB2B" w14:textId="38FD2F99" w:rsidR="00187209" w:rsidRPr="00F37D6C" w:rsidRDefault="005030D8" w:rsidP="00187209">
            <w:pPr>
              <w:spacing w:before="40" w:after="40" w:line="240" w:lineRule="auto"/>
              <w:rPr>
                <w:rFonts w:cs="Arial"/>
                <w:color w:val="000000" w:themeColor="text1"/>
                <w:szCs w:val="22"/>
                <w:highlight w:val="white"/>
              </w:rPr>
            </w:pPr>
            <w:r w:rsidRPr="00F37D6C">
              <w:rPr>
                <w:rFonts w:cs="Arial"/>
                <w:color w:val="000000" w:themeColor="text1"/>
                <w:szCs w:val="22"/>
                <w:highlight w:val="white"/>
              </w:rPr>
              <w:t>W</w:t>
            </w:r>
            <w:r w:rsidR="00187209" w:rsidRPr="00F37D6C">
              <w:rPr>
                <w:rFonts w:cs="Arial"/>
                <w:color w:val="000000" w:themeColor="text1"/>
                <w:szCs w:val="22"/>
                <w:highlight w:val="white"/>
              </w:rPr>
              <w:t>harenui</w:t>
            </w:r>
          </w:p>
        </w:tc>
        <w:tc>
          <w:tcPr>
            <w:tcW w:w="5954" w:type="dxa"/>
            <w:tcBorders>
              <w:top w:val="single" w:sz="8" w:space="0" w:color="4F81BD"/>
              <w:left w:val="single" w:sz="4" w:space="0" w:color="1F497D"/>
              <w:bottom w:val="single" w:sz="8" w:space="0" w:color="4F81BD"/>
            </w:tcBorders>
          </w:tcPr>
          <w:p w14:paraId="37361AEB"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Meeting house</w:t>
            </w:r>
          </w:p>
        </w:tc>
      </w:tr>
      <w:tr w:rsidR="00187209" w:rsidRPr="00282373" w14:paraId="385D54B0" w14:textId="77777777" w:rsidTr="003962D7">
        <w:trPr>
          <w:trHeight w:val="397"/>
        </w:trPr>
        <w:tc>
          <w:tcPr>
            <w:tcW w:w="3227" w:type="dxa"/>
            <w:tcBorders>
              <w:top w:val="single" w:sz="8" w:space="0" w:color="4F81BD"/>
              <w:left w:val="single" w:sz="8" w:space="0" w:color="4F81BD"/>
              <w:bottom w:val="single" w:sz="8" w:space="0" w:color="4F81BD"/>
              <w:right w:val="single" w:sz="4" w:space="0" w:color="1F497D"/>
            </w:tcBorders>
          </w:tcPr>
          <w:p w14:paraId="4ACF6D8E" w14:textId="18A80504" w:rsidR="00187209" w:rsidRPr="00F37D6C" w:rsidRDefault="005030D8" w:rsidP="00187209">
            <w:pPr>
              <w:spacing w:before="40" w:after="40" w:line="240" w:lineRule="auto"/>
              <w:rPr>
                <w:rFonts w:cs="Arial"/>
                <w:color w:val="000000" w:themeColor="text1"/>
                <w:szCs w:val="22"/>
                <w:lang w:val="en-US"/>
              </w:rPr>
            </w:pPr>
            <w:r w:rsidRPr="00F37D6C">
              <w:rPr>
                <w:rFonts w:cs="Arial"/>
                <w:color w:val="000000" w:themeColor="text1"/>
                <w:szCs w:val="22"/>
              </w:rPr>
              <w:t>W</w:t>
            </w:r>
            <w:r w:rsidR="00187209" w:rsidRPr="00F37D6C">
              <w:rPr>
                <w:rFonts w:cs="Arial"/>
                <w:color w:val="000000" w:themeColor="text1"/>
                <w:szCs w:val="22"/>
              </w:rPr>
              <w:t xml:space="preserve">henua </w:t>
            </w:r>
          </w:p>
        </w:tc>
        <w:tc>
          <w:tcPr>
            <w:tcW w:w="5954" w:type="dxa"/>
            <w:tcBorders>
              <w:top w:val="single" w:sz="8" w:space="0" w:color="4F81BD"/>
              <w:left w:val="single" w:sz="4" w:space="0" w:color="1F497D"/>
              <w:bottom w:val="single" w:sz="8" w:space="0" w:color="4F81BD"/>
            </w:tcBorders>
          </w:tcPr>
          <w:p w14:paraId="12AAAA8B" w14:textId="77777777" w:rsidR="00187209" w:rsidRPr="00F37D6C" w:rsidRDefault="00187209" w:rsidP="00187209">
            <w:pPr>
              <w:spacing w:before="40" w:after="40" w:line="240" w:lineRule="auto"/>
              <w:rPr>
                <w:rFonts w:cs="Arial"/>
                <w:color w:val="000000" w:themeColor="text1"/>
                <w:szCs w:val="22"/>
                <w:lang w:val="en-US"/>
              </w:rPr>
            </w:pPr>
            <w:r w:rsidRPr="00F37D6C">
              <w:rPr>
                <w:rFonts w:cs="Arial"/>
                <w:color w:val="000000" w:themeColor="text1"/>
                <w:szCs w:val="22"/>
                <w:lang w:val="en-US"/>
              </w:rPr>
              <w:t>Land, placenta</w:t>
            </w:r>
          </w:p>
        </w:tc>
      </w:tr>
    </w:tbl>
    <w:p w14:paraId="6F86B4A2" w14:textId="77777777" w:rsidR="00187209" w:rsidRDefault="00187209" w:rsidP="00187209">
      <w:pPr>
        <w:rPr>
          <w:rFonts w:cs="Arial"/>
          <w:b/>
        </w:rPr>
      </w:pPr>
    </w:p>
    <w:p w14:paraId="1DCC9CBF" w14:textId="77777777" w:rsidR="00187209" w:rsidRDefault="00187209" w:rsidP="00187209">
      <w:pPr>
        <w:rPr>
          <w:lang w:val="en-US"/>
        </w:rPr>
      </w:pPr>
    </w:p>
    <w:p w14:paraId="4DA60275" w14:textId="77777777" w:rsidR="00187209" w:rsidRPr="00023BF9" w:rsidRDefault="00187209" w:rsidP="00187209">
      <w:pPr>
        <w:rPr>
          <w:sz w:val="2"/>
          <w:lang w:val="mi-NZ"/>
        </w:rPr>
      </w:pPr>
      <w:r w:rsidRPr="00B369B7">
        <w:rPr>
          <w:rFonts w:ascii="Calibri" w:eastAsia="Times New Roman" w:hAnsi="Calibri" w:cs="Calibri"/>
          <w:szCs w:val="22"/>
          <w:lang w:val="mi-NZ" w:eastAsia="en-GB"/>
        </w:rPr>
        <w:t xml:space="preserve"> </w:t>
      </w:r>
      <w:r>
        <w:rPr>
          <w:lang w:val="en-US"/>
        </w:rPr>
        <w:br w:type="page"/>
      </w:r>
    </w:p>
    <w:bookmarkEnd w:id="8"/>
    <w:p w14:paraId="74B92FBF" w14:textId="77777777" w:rsidR="00187209" w:rsidRDefault="00187209" w:rsidP="00187209">
      <w:pPr>
        <w:pStyle w:val="Heading1"/>
        <w:spacing w:after="0" w:line="360" w:lineRule="auto"/>
        <w:jc w:val="both"/>
      </w:pPr>
      <w:r>
        <w:rPr>
          <w:lang w:val="en-NZ"/>
        </w:rPr>
        <w:lastRenderedPageBreak/>
        <w:t>Introduction</w:t>
      </w:r>
    </w:p>
    <w:tbl>
      <w:tblPr>
        <w:tblStyle w:val="TableGrid"/>
        <w:tblW w:w="0" w:type="auto"/>
        <w:tblLook w:val="04A0" w:firstRow="1" w:lastRow="0" w:firstColumn="1" w:lastColumn="0" w:noHBand="0" w:noVBand="1"/>
      </w:tblPr>
      <w:tblGrid>
        <w:gridCol w:w="9858"/>
      </w:tblGrid>
      <w:tr w:rsidR="0021755C" w:rsidRPr="00A62683" w14:paraId="13066C2C" w14:textId="77777777" w:rsidTr="004B02AC">
        <w:tc>
          <w:tcPr>
            <w:tcW w:w="9858" w:type="dxa"/>
            <w:tcBorders>
              <w:top w:val="nil"/>
              <w:left w:val="nil"/>
              <w:bottom w:val="nil"/>
              <w:right w:val="nil"/>
            </w:tcBorders>
            <w:shd w:val="clear" w:color="auto" w:fill="4F81BD"/>
          </w:tcPr>
          <w:p w14:paraId="13A6824C" w14:textId="6EAAECAB" w:rsidR="0021755C" w:rsidRPr="0007547D" w:rsidRDefault="0021755C" w:rsidP="0021755C">
            <w:pPr>
              <w:pStyle w:val="BodyText"/>
              <w:spacing w:before="240" w:after="0"/>
              <w:jc w:val="center"/>
              <w:rPr>
                <w:rFonts w:ascii="Arial" w:hAnsi="Arial" w:cs="Arial"/>
                <w:i/>
                <w:color w:val="FFFFFF" w:themeColor="background1"/>
                <w:lang w:val="en-NZ"/>
              </w:rPr>
            </w:pPr>
            <w:r w:rsidRPr="0007547D">
              <w:rPr>
                <w:rFonts w:ascii="Arial" w:hAnsi="Arial" w:cs="Arial"/>
                <w:i/>
                <w:color w:val="FFFFFF" w:themeColor="background1"/>
                <w:lang w:val="en-NZ"/>
              </w:rPr>
              <w:t>He kokonga whare e kitea, he kokonga ngākau kāhore e kitea.</w:t>
            </w:r>
          </w:p>
          <w:p w14:paraId="75E15E1F" w14:textId="77777777" w:rsidR="0021755C" w:rsidRPr="0007547D" w:rsidRDefault="0021755C" w:rsidP="003962D7">
            <w:pPr>
              <w:pStyle w:val="BodyText"/>
              <w:spacing w:after="0"/>
              <w:jc w:val="center"/>
              <w:rPr>
                <w:rFonts w:ascii="Arial" w:hAnsi="Arial" w:cs="Arial"/>
                <w:i/>
                <w:color w:val="FFFFFF" w:themeColor="background1"/>
                <w:lang w:val="en-NZ"/>
              </w:rPr>
            </w:pPr>
            <w:r w:rsidRPr="0007547D">
              <w:rPr>
                <w:rFonts w:ascii="Arial" w:hAnsi="Arial" w:cs="Arial"/>
                <w:i/>
                <w:color w:val="FFFFFF" w:themeColor="background1"/>
                <w:lang w:val="en-NZ"/>
              </w:rPr>
              <w:t>The corners of a house are visible; the corners of the heart are invisible.</w:t>
            </w:r>
          </w:p>
          <w:p w14:paraId="18626D43" w14:textId="11171833" w:rsidR="0021755C" w:rsidRPr="001C4B93" w:rsidRDefault="003962D7" w:rsidP="006A3A88">
            <w:pPr>
              <w:pStyle w:val="BodyText"/>
              <w:spacing w:after="240" w:line="312" w:lineRule="auto"/>
              <w:ind w:left="1080"/>
              <w:jc w:val="center"/>
              <w:rPr>
                <w:rFonts w:ascii="Arial" w:hAnsi="Arial" w:cs="Arial"/>
                <w:color w:val="FFFFFF" w:themeColor="background1"/>
              </w:rPr>
            </w:pPr>
            <w:r>
              <w:rPr>
                <w:rFonts w:ascii="Arial" w:hAnsi="Arial" w:cs="Arial"/>
                <w:i/>
                <w:color w:val="FFFFFF" w:themeColor="background1"/>
                <w:lang w:val="en-NZ"/>
              </w:rPr>
              <w:t xml:space="preserve">– </w:t>
            </w:r>
            <w:r w:rsidR="0021755C" w:rsidRPr="0007547D">
              <w:rPr>
                <w:rFonts w:ascii="Arial" w:hAnsi="Arial" w:cs="Arial"/>
                <w:i/>
                <w:color w:val="FFFFFF" w:themeColor="background1"/>
                <w:lang w:val="en-NZ"/>
              </w:rPr>
              <w:t>whakataukī (proverb)</w:t>
            </w:r>
          </w:p>
        </w:tc>
      </w:tr>
    </w:tbl>
    <w:p w14:paraId="6291DC7D" w14:textId="719692C0" w:rsidR="00187209" w:rsidRPr="006A3A88" w:rsidRDefault="00187209" w:rsidP="0021755C">
      <w:pPr>
        <w:pStyle w:val="Normal1"/>
        <w:spacing w:after="240" w:line="312" w:lineRule="auto"/>
        <w:jc w:val="both"/>
        <w:rPr>
          <w:rFonts w:ascii="Arial" w:hAnsi="Arial" w:cs="Arial"/>
          <w:szCs w:val="22"/>
        </w:rPr>
      </w:pPr>
      <w:r>
        <w:t xml:space="preserve">This </w:t>
      </w:r>
      <w:r w:rsidR="003962D7">
        <w:t>i</w:t>
      </w:r>
      <w:r>
        <w:t xml:space="preserve">ssues </w:t>
      </w:r>
      <w:r w:rsidR="003962D7">
        <w:t>p</w:t>
      </w:r>
      <w:r>
        <w:t>aper has been developed from two research programmes ‘He Kokonga Whare: Māori Intergenerational Trauma and Healing’ and ‘He Waka Eke Noa: Māori Cultural Frameworks for Violence Prevention and Intervention</w:t>
      </w:r>
      <w:r w:rsidR="00F37D6C">
        <w:t>.</w:t>
      </w:r>
      <w:r>
        <w:t xml:space="preserve">’ As part of a wider </w:t>
      </w:r>
      <w:r w:rsidR="00F37D6C">
        <w:t>f</w:t>
      </w:r>
      <w:r>
        <w:t xml:space="preserve">amily </w:t>
      </w:r>
      <w:r w:rsidR="00F37D6C">
        <w:t>v</w:t>
      </w:r>
      <w:r>
        <w:t>iolence programme of work these projects focus broadly on historical trauma, the intergenerational impact of whānau and sexual violence on Māori, and healing pathways. As an expanding discipline, historical trauma theory encourages the development of understandings and healing frameworks that are cogni</w:t>
      </w:r>
      <w:r w:rsidR="00F37D6C">
        <w:t>s</w:t>
      </w:r>
      <w:r>
        <w:t>ant of collective and historical indigenous experience, particularly in regard to colonisation and its impact. Such frameworks provide the context and starting place for identification of the pathways that w</w:t>
      </w:r>
      <w:r w:rsidRPr="006A3A88">
        <w:rPr>
          <w:rFonts w:ascii="Arial" w:hAnsi="Arial" w:cs="Arial"/>
          <w:szCs w:val="22"/>
        </w:rPr>
        <w:t xml:space="preserve">ill support recovery and healing.  </w:t>
      </w:r>
    </w:p>
    <w:p w14:paraId="60B5C25B" w14:textId="1890D016" w:rsidR="00187209" w:rsidRDefault="00187209" w:rsidP="0021755C">
      <w:r w:rsidRPr="006A3A88">
        <w:rPr>
          <w:rFonts w:cs="Arial"/>
          <w:szCs w:val="22"/>
        </w:rPr>
        <w:t xml:space="preserve">This discussion explores historical trauma and the impact of whānau violence on Māori. </w:t>
      </w:r>
      <w:r w:rsidR="006A3A88" w:rsidRPr="006A3A88">
        <w:rPr>
          <w:rFonts w:cs="Arial"/>
          <w:szCs w:val="22"/>
        </w:rPr>
        <w:t xml:space="preserve">It is noted </w:t>
      </w:r>
      <w:r w:rsidR="003C747B">
        <w:rPr>
          <w:rFonts w:cs="Arial"/>
          <w:szCs w:val="22"/>
        </w:rPr>
        <w:t xml:space="preserve">that </w:t>
      </w:r>
      <w:r w:rsidR="006A3A88" w:rsidRPr="006A3A88">
        <w:rPr>
          <w:rFonts w:cs="Arial"/>
          <w:szCs w:val="22"/>
        </w:rPr>
        <w:t>it has been suggested that the term “whānau violence”</w:t>
      </w:r>
      <w:r w:rsidR="003C747B">
        <w:rPr>
          <w:rFonts w:cs="Arial"/>
          <w:szCs w:val="22"/>
        </w:rPr>
        <w:t xml:space="preserve"> has the potential to be seen in a</w:t>
      </w:r>
      <w:r w:rsidR="006A3A88" w:rsidRPr="006A3A88">
        <w:rPr>
          <w:rFonts w:cs="Arial"/>
          <w:szCs w:val="22"/>
        </w:rPr>
        <w:t xml:space="preserve"> deficit frame</w:t>
      </w:r>
      <w:r w:rsidR="006A1407">
        <w:rPr>
          <w:rFonts w:cs="Arial"/>
          <w:szCs w:val="22"/>
        </w:rPr>
        <w:t>,</w:t>
      </w:r>
      <w:r w:rsidR="003C747B">
        <w:rPr>
          <w:rFonts w:cs="Arial"/>
          <w:szCs w:val="22"/>
        </w:rPr>
        <w:t xml:space="preserve"> however </w:t>
      </w:r>
      <w:r w:rsidR="006A1407">
        <w:rPr>
          <w:rFonts w:cs="Arial"/>
          <w:szCs w:val="22"/>
        </w:rPr>
        <w:t>i</w:t>
      </w:r>
      <w:r w:rsidR="003D38A1">
        <w:rPr>
          <w:rFonts w:cs="Arial"/>
          <w:szCs w:val="22"/>
        </w:rPr>
        <w:t xml:space="preserve">n this paper </w:t>
      </w:r>
      <w:r w:rsidR="006A3A88" w:rsidRPr="006A3A88">
        <w:rPr>
          <w:rFonts w:cs="Arial"/>
          <w:szCs w:val="22"/>
        </w:rPr>
        <w:t>w</w:t>
      </w:r>
      <w:r w:rsidRPr="006A3A88">
        <w:rPr>
          <w:rFonts w:cs="Arial"/>
          <w:szCs w:val="22"/>
        </w:rPr>
        <w:t>hen we speak of whānau violence we are speaking to both the violence perpetrated by colonisation and the State upon whānau, and the violence that occurs within and between wh</w:t>
      </w:r>
      <w:r w:rsidR="002954E8" w:rsidRPr="006A3A88">
        <w:rPr>
          <w:rFonts w:cs="Arial"/>
          <w:szCs w:val="22"/>
        </w:rPr>
        <w:t>ā</w:t>
      </w:r>
      <w:r w:rsidRPr="006A3A88">
        <w:rPr>
          <w:rFonts w:cs="Arial"/>
          <w:szCs w:val="22"/>
        </w:rPr>
        <w:t xml:space="preserve">nau </w:t>
      </w:r>
      <w:r>
        <w:t>members. Kruger et</w:t>
      </w:r>
      <w:r w:rsidR="002954E8">
        <w:t xml:space="preserve"> </w:t>
      </w:r>
      <w:r>
        <w:t>al</w:t>
      </w:r>
      <w:r w:rsidR="005C503A">
        <w:t>.</w:t>
      </w:r>
      <w:r>
        <w:t xml:space="preserve"> (2004) note that </w:t>
      </w:r>
      <w:r w:rsidRPr="00017A7E">
        <w:rPr>
          <w:rFonts w:cs="Arial"/>
          <w:szCs w:val="22"/>
        </w:rPr>
        <w:t>the “</w:t>
      </w:r>
      <w:r w:rsidRPr="00017A7E">
        <w:rPr>
          <w:rFonts w:eastAsia="Times New Roman" w:cs="Arial"/>
          <w:color w:val="282323"/>
          <w:szCs w:val="22"/>
          <w:lang w:eastAsia="en-GB"/>
        </w:rPr>
        <w:t>government frames whānau violence in the same way it frames family violence, using an analytical process that is punitive, reductionist and individualised</w:t>
      </w:r>
      <w:r>
        <w:rPr>
          <w:rFonts w:eastAsia="Times New Roman" w:cs="Arial"/>
          <w:color w:val="282323"/>
          <w:szCs w:val="22"/>
          <w:lang w:eastAsia="en-GB"/>
        </w:rPr>
        <w:t>”</w:t>
      </w:r>
      <w:r w:rsidRPr="00017A7E">
        <w:rPr>
          <w:rFonts w:eastAsia="Times New Roman" w:cs="Arial"/>
          <w:color w:val="282323"/>
          <w:szCs w:val="22"/>
          <w:lang w:eastAsia="en-GB"/>
        </w:rPr>
        <w:t xml:space="preserve"> (p.11)</w:t>
      </w:r>
      <w:r w:rsidR="00690D8D">
        <w:rPr>
          <w:rFonts w:eastAsia="Times New Roman" w:cs="Arial"/>
          <w:color w:val="282323"/>
          <w:szCs w:val="22"/>
          <w:lang w:eastAsia="en-GB"/>
        </w:rPr>
        <w:t>.</w:t>
      </w:r>
      <w:r w:rsidRPr="00017A7E">
        <w:rPr>
          <w:rFonts w:eastAsia="Times New Roman" w:cs="Arial"/>
          <w:color w:val="282323"/>
          <w:szCs w:val="22"/>
          <w:lang w:eastAsia="en-GB"/>
        </w:rPr>
        <w:t xml:space="preserve"> </w:t>
      </w:r>
      <w:r w:rsidR="002954E8">
        <w:rPr>
          <w:rFonts w:eastAsia="Times New Roman" w:cs="Arial"/>
          <w:color w:val="282323"/>
          <w:szCs w:val="22"/>
          <w:lang w:eastAsia="en-GB"/>
        </w:rPr>
        <w:t>H</w:t>
      </w:r>
      <w:r w:rsidRPr="00017A7E">
        <w:rPr>
          <w:rFonts w:eastAsia="Times New Roman" w:cs="Arial"/>
          <w:color w:val="282323"/>
          <w:szCs w:val="22"/>
          <w:lang w:eastAsia="en-GB"/>
        </w:rPr>
        <w:t>owever the approach taken in this paper locates whānau violence within the wider impact of colonisation and the impact of historical trauma upon wh</w:t>
      </w:r>
      <w:r>
        <w:rPr>
          <w:rFonts w:eastAsia="Times New Roman" w:cs="Arial"/>
          <w:color w:val="282323"/>
          <w:szCs w:val="22"/>
          <w:lang w:eastAsia="en-GB"/>
        </w:rPr>
        <w:t>ā</w:t>
      </w:r>
      <w:r w:rsidRPr="00017A7E">
        <w:rPr>
          <w:rFonts w:eastAsia="Times New Roman" w:cs="Arial"/>
          <w:color w:val="282323"/>
          <w:szCs w:val="22"/>
          <w:lang w:eastAsia="en-GB"/>
        </w:rPr>
        <w:t>nau, hapū and iwi as collectives.</w:t>
      </w:r>
      <w:r w:rsidRPr="00017A7E">
        <w:rPr>
          <w:rFonts w:cs="Arial"/>
          <w:szCs w:val="22"/>
        </w:rPr>
        <w:t xml:space="preserve"> </w:t>
      </w:r>
      <w:r>
        <w:t>The approach we take prioritises broadening understandings of the impact of historical trauma, how it manifests in our communities through acts of violence such as whānau violence, and exploring key principles that can be integrated into processes that enable individual and collective healing. As Mason Durie (2001) reminds us, for Māori “health is a collective challenge” (p.279)</w:t>
      </w:r>
      <w:r w:rsidR="00690D8D">
        <w:t>.</w:t>
      </w:r>
      <w:r w:rsidR="00890F6B" w:rsidRPr="00890F6B">
        <w:rPr>
          <w:noProof/>
          <w:lang w:eastAsia="en-NZ"/>
        </w:rPr>
        <w:t xml:space="preserve"> </w:t>
      </w:r>
    </w:p>
    <w:p w14:paraId="37EE080F" w14:textId="77777777" w:rsidR="00187209" w:rsidRDefault="00187209" w:rsidP="0021755C">
      <w:pPr>
        <w:spacing w:after="0"/>
        <w:rPr>
          <w:lang w:val="en-US"/>
        </w:rPr>
      </w:pPr>
      <w:r>
        <w:rPr>
          <w:lang w:val="en-US"/>
        </w:rPr>
        <w:t xml:space="preserve">The aim of this paper is to: </w:t>
      </w:r>
    </w:p>
    <w:p w14:paraId="41B7E99C" w14:textId="77777777" w:rsidR="00187209" w:rsidRDefault="00187209" w:rsidP="0021755C">
      <w:pPr>
        <w:numPr>
          <w:ilvl w:val="0"/>
          <w:numId w:val="29"/>
        </w:numPr>
        <w:spacing w:after="0"/>
        <w:ind w:left="714" w:hanging="357"/>
        <w:jc w:val="both"/>
        <w:rPr>
          <w:lang w:val="en-US"/>
        </w:rPr>
      </w:pPr>
      <w:r>
        <w:rPr>
          <w:lang w:val="en-US"/>
        </w:rPr>
        <w:t xml:space="preserve">Introduce some traditional practices related to whānau wellbeing </w:t>
      </w:r>
    </w:p>
    <w:p w14:paraId="4789EE6C" w14:textId="77777777" w:rsidR="00187209" w:rsidRDefault="00187209" w:rsidP="0021755C">
      <w:pPr>
        <w:numPr>
          <w:ilvl w:val="0"/>
          <w:numId w:val="29"/>
        </w:numPr>
        <w:spacing w:after="0"/>
        <w:jc w:val="both"/>
        <w:rPr>
          <w:lang w:val="en-US"/>
        </w:rPr>
      </w:pPr>
      <w:r>
        <w:rPr>
          <w:lang w:val="en-US"/>
        </w:rPr>
        <w:t xml:space="preserve">Present definitions of historical trauma as understood by Indigenous scholars </w:t>
      </w:r>
    </w:p>
    <w:p w14:paraId="118C7C87" w14:textId="77777777" w:rsidR="00187209" w:rsidRDefault="00187209" w:rsidP="0021755C">
      <w:pPr>
        <w:numPr>
          <w:ilvl w:val="0"/>
          <w:numId w:val="29"/>
        </w:numPr>
        <w:spacing w:after="0"/>
        <w:ind w:left="714" w:hanging="357"/>
        <w:jc w:val="both"/>
        <w:rPr>
          <w:lang w:val="en-US"/>
        </w:rPr>
      </w:pPr>
      <w:r>
        <w:rPr>
          <w:lang w:val="en-US"/>
        </w:rPr>
        <w:t>Discuss the intersection of colonisation and historical trauma</w:t>
      </w:r>
    </w:p>
    <w:p w14:paraId="559211F8" w14:textId="77777777" w:rsidR="00187209" w:rsidRDefault="00187209" w:rsidP="0021755C">
      <w:pPr>
        <w:numPr>
          <w:ilvl w:val="0"/>
          <w:numId w:val="29"/>
        </w:numPr>
        <w:spacing w:after="0"/>
        <w:ind w:left="714" w:hanging="357"/>
        <w:jc w:val="both"/>
        <w:rPr>
          <w:lang w:val="en-US"/>
        </w:rPr>
      </w:pPr>
      <w:r>
        <w:rPr>
          <w:lang w:val="en-US"/>
        </w:rPr>
        <w:t>Show connection between colonisation and historical trauma</w:t>
      </w:r>
    </w:p>
    <w:p w14:paraId="5FC84982" w14:textId="77777777" w:rsidR="00187209" w:rsidRDefault="00187209" w:rsidP="0021755C">
      <w:pPr>
        <w:numPr>
          <w:ilvl w:val="0"/>
          <w:numId w:val="29"/>
        </w:numPr>
        <w:spacing w:after="0"/>
        <w:ind w:left="714" w:hanging="357"/>
        <w:jc w:val="both"/>
        <w:rPr>
          <w:lang w:val="en-US"/>
        </w:rPr>
      </w:pPr>
      <w:r>
        <w:rPr>
          <w:lang w:val="en-US"/>
        </w:rPr>
        <w:t>P</w:t>
      </w:r>
      <w:r w:rsidRPr="00027D2D">
        <w:rPr>
          <w:lang w:val="en-US"/>
        </w:rPr>
        <w:t xml:space="preserve">rovide an </w:t>
      </w:r>
      <w:r>
        <w:rPr>
          <w:lang w:val="en-US"/>
        </w:rPr>
        <w:t>overview of a range of ways in which historical trauma is understood to impact upon Māori whānau, hapū and iwi in relation to whānau violence</w:t>
      </w:r>
    </w:p>
    <w:p w14:paraId="21B8E814" w14:textId="77777777" w:rsidR="00187209" w:rsidRDefault="00187209" w:rsidP="0021755C">
      <w:pPr>
        <w:numPr>
          <w:ilvl w:val="0"/>
          <w:numId w:val="29"/>
        </w:numPr>
        <w:spacing w:after="0"/>
        <w:ind w:left="714" w:hanging="357"/>
        <w:jc w:val="both"/>
        <w:rPr>
          <w:lang w:val="en-US"/>
        </w:rPr>
      </w:pPr>
      <w:r>
        <w:rPr>
          <w:lang w:val="en-US"/>
        </w:rPr>
        <w:t>Discuss some barriers that affect Māori and Indigenous approaches to historical trauma</w:t>
      </w:r>
    </w:p>
    <w:p w14:paraId="4DAC17AA" w14:textId="77777777" w:rsidR="00187209" w:rsidRDefault="00187209" w:rsidP="0021755C">
      <w:pPr>
        <w:numPr>
          <w:ilvl w:val="0"/>
          <w:numId w:val="29"/>
        </w:numPr>
        <w:ind w:left="714" w:hanging="357"/>
        <w:jc w:val="both"/>
        <w:rPr>
          <w:lang w:val="en-US"/>
        </w:rPr>
      </w:pPr>
      <w:r>
        <w:rPr>
          <w:lang w:val="en-US"/>
        </w:rPr>
        <w:t>Give examples of Māori approaches that can help to heal historical trauma and whānau violence</w:t>
      </w:r>
    </w:p>
    <w:p w14:paraId="59E85BD9" w14:textId="5A1C2B38" w:rsidR="00187209" w:rsidRPr="0021755C" w:rsidRDefault="00187209" w:rsidP="0021755C">
      <w:pPr>
        <w:pStyle w:val="Heading1"/>
      </w:pPr>
      <w:r w:rsidRPr="0021755C">
        <w:lastRenderedPageBreak/>
        <w:t>Background: Tra</w:t>
      </w:r>
      <w:r w:rsidR="00F37D6C">
        <w:t>ditional p</w:t>
      </w:r>
      <w:r w:rsidRPr="0021755C">
        <w:t xml:space="preserve">ractices of whānau wellbeing </w:t>
      </w:r>
    </w:p>
    <w:p w14:paraId="42187F94" w14:textId="4E964BEF" w:rsidR="00187209" w:rsidRDefault="00187209" w:rsidP="00187209">
      <w:r>
        <w:t xml:space="preserve">Traditional knowledge holders interviewed in the ‘He Kokonga Whare’ project spoke of the centrality of whānau and our connectedness to each other. The power of whānau was highlighted consistently throughout the project, with an understanding expressed that raising tamariki was a collective responsibility. Traditionally whānau, hapū and iwi lived collectively on their ancestral lands in contexts where people knew each other and their connections to each other, enabling tikanga to be enacted as a mechanism for collective wellbeing. </w:t>
      </w:r>
    </w:p>
    <w:p w14:paraId="670B80CA" w14:textId="252DEFFD" w:rsidR="00187209" w:rsidRDefault="00187209" w:rsidP="00187209">
      <w:r>
        <w:rPr>
          <w:highlight w:val="white"/>
        </w:rPr>
        <w:t>From a traditional standpoint, the whānau is the primary source of support.  Any issues within the whānau were resolved within the context of the whānau (Mikaere</w:t>
      </w:r>
      <w:r w:rsidR="003B246C">
        <w:rPr>
          <w:highlight w:val="white"/>
        </w:rPr>
        <w:t>,</w:t>
      </w:r>
      <w:r>
        <w:rPr>
          <w:highlight w:val="white"/>
        </w:rPr>
        <w:t xml:space="preserve"> 1994; Pihama &amp; Cameron</w:t>
      </w:r>
      <w:r w:rsidR="003B246C">
        <w:rPr>
          <w:highlight w:val="white"/>
        </w:rPr>
        <w:t>,</w:t>
      </w:r>
      <w:r>
        <w:rPr>
          <w:highlight w:val="white"/>
        </w:rPr>
        <w:t xml:space="preserve"> 2012). Communal living reinforced interdependency, requiring constant contact and interaction with other members of the community to ensure that the affairs of the group remained buoyant and operational.</w:t>
      </w:r>
      <w:r>
        <w:t xml:space="preserve"> Henare (1988) describes whānau as the basic social unit within Māori society, which may be generally interpreted as an ‘extended family’ consisting of three or four generations and operated under the guidance of kaumātua</w:t>
      </w:r>
      <w:r w:rsidR="00E6538E">
        <w:t>.</w:t>
      </w:r>
    </w:p>
    <w:p w14:paraId="460F1D4F" w14:textId="0EA87D7D" w:rsidR="00187209" w:rsidRDefault="00187209" w:rsidP="00187209">
      <w:r>
        <w:t>Within a traditional Māori understanding of whānau the fundamental organising principle is that of whakapapa. Definitions of whānau in a contemporary context also include what is referred to as the ‘kaupapa’ whānau. Kaupapa whānau refers to groups of Māori that form around common interests or activities. For example it may include kura whānau (groups of Māori that join together around a school context) or those that create support systems around structures such as urban marae, where people gather as communities and support each other for collective wellbeing (Hohepa</w:t>
      </w:r>
      <w:r w:rsidR="003B246C">
        <w:t>,</w:t>
      </w:r>
      <w:r>
        <w:t xml:space="preserve"> 1999).</w:t>
      </w:r>
    </w:p>
    <w:p w14:paraId="6C0CE2F5" w14:textId="0E519140" w:rsidR="00187209" w:rsidRDefault="00187209" w:rsidP="00187209">
      <w:r>
        <w:t>Whakapapa is a cultural and structural foundation for the organisation of whānau, hapū and iwi. Within whakapapa we are involved in a complex set of interrelationships. Kathie Irwin (1992) emphasises that it is through tikanga Māori that we are able to maintain cultural control over issues of identification, including that of whānau, with a critical cultural element being whakapapa. Whakapapa has been identified as the fundamental premise upon which whānau, hapū, iwi and Māori identity are grounded (Kruger et al</w:t>
      </w:r>
      <w:r w:rsidR="005C503A">
        <w:t>.</w:t>
      </w:r>
      <w:r w:rsidR="003B246C">
        <w:t>,</w:t>
      </w:r>
      <w:r>
        <w:t xml:space="preserve"> 2004)</w:t>
      </w:r>
      <w:r w:rsidR="003B246C">
        <w:t>.</w:t>
      </w:r>
    </w:p>
    <w:p w14:paraId="4F77675A" w14:textId="687E1ACA" w:rsidR="00187209" w:rsidRDefault="00187209" w:rsidP="00187209">
      <w:r>
        <w:t xml:space="preserve">The development of healthy relationships for Māori is directly related to the quality of the whānau, hapū and iwi relationships. Tikanga provides the ancestral knowledge and practices that sit at the centre of Māori relationships. Communication of those tikanga forms the basis of a Māori world view. This, alongside whakapapa, brings to the fore collective obligations and responsibilities for each other in the wider sense of wellbeing. Traditional Māori society understood and accepted such arrangements as a key facet of life and people were engaged in philosophical thought and discussion that organised and ordered people in relation to each other and to the natural world. This always included a spiritual dimension, enabling an understanding that everything is interconnected on cultural, physical, intellectual and spiritual levels and that what happened in your whānau affected all members of the whānau. Collective connectedness is critical for whānau wellbeing. This includes </w:t>
      </w:r>
      <w:r w:rsidR="004B02AC">
        <w:rPr>
          <w:noProof/>
          <w:lang w:eastAsia="en-NZ"/>
        </w:rPr>
        <w:lastRenderedPageBreak/>
        <mc:AlternateContent>
          <mc:Choice Requires="wps">
            <w:drawing>
              <wp:anchor distT="0" distB="0" distL="114300" distR="114300" simplePos="0" relativeHeight="251657216" behindDoc="0" locked="0" layoutInCell="1" allowOverlap="1" wp14:anchorId="0F401A6C" wp14:editId="0702FC27">
                <wp:simplePos x="0" y="0"/>
                <wp:positionH relativeFrom="column">
                  <wp:posOffset>4216029</wp:posOffset>
                </wp:positionH>
                <wp:positionV relativeFrom="paragraph">
                  <wp:posOffset>16186</wp:posOffset>
                </wp:positionV>
                <wp:extent cx="1828800" cy="1845945"/>
                <wp:effectExtent l="0" t="0" r="0" b="1905"/>
                <wp:wrapSquare wrapText="bothSides"/>
                <wp:docPr id="7" name="Rectangle 7"/>
                <wp:cNvGraphicFramePr/>
                <a:graphic xmlns:a="http://schemas.openxmlformats.org/drawingml/2006/main">
                  <a:graphicData uri="http://schemas.microsoft.com/office/word/2010/wordprocessingShape">
                    <wps:wsp>
                      <wps:cNvSpPr/>
                      <wps:spPr>
                        <a:xfrm>
                          <a:off x="0" y="0"/>
                          <a:ext cx="1828800" cy="184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29E43" w14:textId="28BB0A91" w:rsidR="004B02AC" w:rsidRPr="004B02AC" w:rsidRDefault="004B02AC" w:rsidP="004B02AC">
                            <w:pPr>
                              <w:rPr>
                                <w:i/>
                                <w:color w:val="FFFFFF" w:themeColor="background1"/>
                              </w:rPr>
                            </w:pPr>
                            <w:r w:rsidRPr="004B02AC">
                              <w:rPr>
                                <w:i/>
                              </w:rPr>
                              <w:t>Mikaere (1994) notes that in this context there was no distinction between private and public domains, and the status of women was protected and affirmed.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401A6C" id="Rectangle 7" o:spid="_x0000_s1027" style="position:absolute;margin-left:331.95pt;margin-top:1.25pt;width:2in;height:14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" fillcolor="#5b9bd5 [3204]" stroked="f" strokeweight="1pt">
                <v:textbox inset=",14.4pt,8.64pt,18pt">
                  <w:txbxContent>
                    <w:p w14:paraId="58629E43" w14:textId="28BB0A91" w:rsidR="004B02AC" w:rsidRPr="004B02AC" w:rsidRDefault="004B02AC" w:rsidP="004B02AC">
                      <w:pPr>
                        <w:rPr>
                          <w:i/>
                          <w:color w:val="FFFFFF" w:themeColor="background1"/>
                        </w:rPr>
                      </w:pPr>
                      <w:proofErr w:type="spellStart"/>
                      <w:r w:rsidRPr="004B02AC">
                        <w:rPr>
                          <w:i/>
                        </w:rPr>
                        <w:t>Mikaere</w:t>
                      </w:r>
                      <w:proofErr w:type="spellEnd"/>
                      <w:r w:rsidRPr="004B02AC">
                        <w:rPr>
                          <w:i/>
                        </w:rPr>
                        <w:t xml:space="preserve"> (1994) notes that in this context there was no distinction between private and public domains, and the status of women was protected and affirmed.</w:t>
                      </w:r>
                    </w:p>
                  </w:txbxContent>
                </v:textbox>
                <w10:wrap type="square"/>
              </v:rect>
            </w:pict>
          </mc:Fallback>
        </mc:AlternateContent>
      </w:r>
      <w:r>
        <w:t>ensuring that we have a secure sense of our relationships to each other and to our lands. Whānau consistently reference maunga, whenua, moana and awa both as a part of our cultural identity and in acknowledgement of our obligations to care for our environment as a part of our wider cultural relationships.</w:t>
      </w:r>
    </w:p>
    <w:p w14:paraId="42190CBE" w14:textId="6AF8DE89" w:rsidR="00187209" w:rsidRDefault="00187209" w:rsidP="00187209">
      <w:r>
        <w:t xml:space="preserve">Early documentation describes Māori of the time as a strong healthy people, and observed a well-formed societal structure that was able to meet the needs of its membership, especially the needs of the young </w:t>
      </w:r>
      <w:r w:rsidRPr="00204FAF">
        <w:rPr>
          <w:lang w:val="en-US"/>
        </w:rPr>
        <w:t>(Pihama</w:t>
      </w:r>
      <w:r w:rsidRPr="00204FAF">
        <w:rPr>
          <w:bCs/>
          <w:lang w:val="en-US"/>
        </w:rPr>
        <w:t xml:space="preserve">, Lee, Te Nana, Campbell, Greensill, </w:t>
      </w:r>
      <w:r w:rsidR="00E6538E">
        <w:rPr>
          <w:bCs/>
          <w:lang w:val="en-US"/>
        </w:rPr>
        <w:t xml:space="preserve">&amp; </w:t>
      </w:r>
      <w:r w:rsidRPr="00204FAF">
        <w:rPr>
          <w:bCs/>
          <w:lang w:val="en-US"/>
        </w:rPr>
        <w:t>Tauroa</w:t>
      </w:r>
      <w:r>
        <w:rPr>
          <w:bCs/>
          <w:lang w:val="en-US"/>
        </w:rPr>
        <w:t>,</w:t>
      </w:r>
      <w:r w:rsidRPr="00204FAF">
        <w:rPr>
          <w:bCs/>
          <w:lang w:val="en-US"/>
        </w:rPr>
        <w:t xml:space="preserve"> </w:t>
      </w:r>
      <w:r w:rsidRPr="00204FAF">
        <w:rPr>
          <w:lang w:val="en-US"/>
        </w:rPr>
        <w:t>2015</w:t>
      </w:r>
      <w:r w:rsidRPr="00204FAF">
        <w:rPr>
          <w:bCs/>
          <w:lang w:val="en-US"/>
        </w:rPr>
        <w:t>)</w:t>
      </w:r>
      <w:r>
        <w:t>. Māori children were treasured and their place within the communal setting was one where all adults played a role in the nurturing of the tamariki in their village (Pere, 1988; Jenkins</w:t>
      </w:r>
      <w:r w:rsidR="003B246C">
        <w:t>,</w:t>
      </w:r>
      <w:r>
        <w:t xml:space="preserve"> 1992). For example, it was noted that rather than parents working alone to raise tamariki, there was a shared process involving other whānau members to raise and nurture in line with the concept of whāngai, where the role of feeding tamariki, physically, spiritually, emotionally and intellectually, was collective</w:t>
      </w:r>
      <w:r w:rsidRPr="00204FAF">
        <w:t xml:space="preserve"> </w:t>
      </w:r>
      <w:r w:rsidRPr="00204FAF">
        <w:rPr>
          <w:lang w:val="en-US"/>
        </w:rPr>
        <w:t>(Pihama</w:t>
      </w:r>
      <w:r>
        <w:rPr>
          <w:bCs/>
          <w:lang w:val="en-US"/>
        </w:rPr>
        <w:t xml:space="preserve"> et al</w:t>
      </w:r>
      <w:r w:rsidR="005C503A">
        <w:rPr>
          <w:bCs/>
          <w:lang w:val="en-US"/>
        </w:rPr>
        <w:t>.</w:t>
      </w:r>
      <w:r w:rsidR="003B246C">
        <w:rPr>
          <w:bCs/>
          <w:lang w:val="en-US"/>
        </w:rPr>
        <w:t>,</w:t>
      </w:r>
      <w:r w:rsidRPr="00204FAF">
        <w:rPr>
          <w:bCs/>
          <w:lang w:val="en-US"/>
        </w:rPr>
        <w:t xml:space="preserve"> </w:t>
      </w:r>
      <w:r w:rsidRPr="00204FAF">
        <w:rPr>
          <w:lang w:val="en-US"/>
        </w:rPr>
        <w:t>2015</w:t>
      </w:r>
      <w:r>
        <w:rPr>
          <w:lang w:val="en-US"/>
        </w:rPr>
        <w:t>;</w:t>
      </w:r>
      <w:r w:rsidRPr="00FB509B">
        <w:rPr>
          <w:bCs/>
          <w:lang w:val="en-US"/>
        </w:rPr>
        <w:t xml:space="preserve"> </w:t>
      </w:r>
      <w:r w:rsidRPr="00204FAF">
        <w:rPr>
          <w:bCs/>
          <w:lang w:val="en-US"/>
        </w:rPr>
        <w:t>G</w:t>
      </w:r>
      <w:r>
        <w:rPr>
          <w:bCs/>
          <w:lang w:val="en-US"/>
        </w:rPr>
        <w:t>abe</w:t>
      </w:r>
      <w:r>
        <w:t>l</w:t>
      </w:r>
      <w:r w:rsidR="003B246C">
        <w:t>,</w:t>
      </w:r>
      <w:r>
        <w:t xml:space="preserve"> 2013</w:t>
      </w:r>
      <w:r w:rsidRPr="00204FAF">
        <w:rPr>
          <w:bCs/>
          <w:lang w:val="en-US"/>
        </w:rPr>
        <w:t>)</w:t>
      </w:r>
      <w:r>
        <w:t>. In both tradition</w:t>
      </w:r>
      <w:r w:rsidRPr="004B02AC">
        <w:t xml:space="preserve">al and contemporary Māori society the whānau is critical. Mikaere (1994) notes that in this context there was no distinction between private and public domains, and the status of women was protected and affirmed. </w:t>
      </w:r>
    </w:p>
    <w:p w14:paraId="727E8A7B" w14:textId="4C054631" w:rsidR="00187209" w:rsidRDefault="00187209" w:rsidP="00187209">
      <w:r>
        <w:t>Historically, where whānau were geographically located in the same area it was a very common practice to find tamariki living for periods of time with other whānau members and in more recent times this was also a practice that ensured the safety of tamariki (Pere</w:t>
      </w:r>
      <w:r w:rsidR="005C503A">
        <w:t>,</w:t>
      </w:r>
      <w:r>
        <w:t xml:space="preserve"> 1982).</w:t>
      </w:r>
      <w:r w:rsidRPr="004262E8">
        <w:t xml:space="preserve"> </w:t>
      </w:r>
      <w:r>
        <w:t xml:space="preserve">As Naomi Simmonds (2011) states </w:t>
      </w:r>
      <w:r>
        <w:rPr>
          <w:lang w:val="en-US"/>
        </w:rPr>
        <w:t>“whānau as it is used here is not simply meant to denote the nuclear family – mother, father and children. Whānau is much more. It can include extended family, and wider still the hapū or iwi</w:t>
      </w:r>
      <w:r w:rsidR="00F37D6C">
        <w:rPr>
          <w:lang w:val="en-US"/>
        </w:rPr>
        <w:t>” (p.16)</w:t>
      </w:r>
      <w:r w:rsidR="00D636C6">
        <w:rPr>
          <w:lang w:val="en-US"/>
        </w:rPr>
        <w:t>.</w:t>
      </w:r>
      <w:r>
        <w:rPr>
          <w:lang w:val="en-US"/>
        </w:rPr>
        <w:t xml:space="preserve"> </w:t>
      </w:r>
      <w:r>
        <w:t>The contributions that whānau made to each other provided physical, spiritual, emotional, cultural and psychological support mechanisms. Intergenerational support for children also provided protective mechanisms for their wellbeing and therefore for the wellbeing of all the whānau. The wellbeing of tamariki is seen as a core value in any framework of whānau wellbeing. This required the commitment of all whānau members to the care, nurturing and guidance of tama</w:t>
      </w:r>
      <w:r w:rsidR="003B246C">
        <w:t>riki.</w:t>
      </w:r>
    </w:p>
    <w:p w14:paraId="45904A06" w14:textId="37EC2FB2" w:rsidR="00187209" w:rsidRDefault="00187209" w:rsidP="00187209">
      <w:r>
        <w:t>Mikaere (1994) highlights the importance of understanding the traditional Māori worldview with regard to the balanced and complementary roles of women and men in traditional Māori society.</w:t>
      </w:r>
      <w:r w:rsidRPr="00002984">
        <w:t xml:space="preserve"> </w:t>
      </w:r>
      <w:r>
        <w:t>At the basis of that worldview is the concept of whanaungatanga, the interrelatedness of all living things, to each other and to the natural environment. It cannot be stressed enough that the role of Māori men in raising children was considered to be a part of their role alongside Māor</w:t>
      </w:r>
      <w:r w:rsidR="003B246C">
        <w:t xml:space="preserve">i women. </w:t>
      </w:r>
      <w:r>
        <w:t xml:space="preserve">This has been documented as a clear indication of their centrality in ensuring the wellbeing of future generations (Salmond, 1991; Pihama, 1993; </w:t>
      </w:r>
      <w:r w:rsidRPr="0000597F">
        <w:t>Pihama, et al</w:t>
      </w:r>
      <w:r w:rsidR="005C503A">
        <w:t>.</w:t>
      </w:r>
      <w:r w:rsidRPr="0000597F">
        <w:t>, 2015</w:t>
      </w:r>
      <w:r w:rsidR="0021755C">
        <w:t>).</w:t>
      </w:r>
    </w:p>
    <w:p w14:paraId="56CB70B7" w14:textId="053126BD" w:rsidR="00187209" w:rsidRPr="00DE0A41" w:rsidRDefault="00187209" w:rsidP="0021755C">
      <w:r>
        <w:rPr>
          <w:highlight w:val="white"/>
        </w:rPr>
        <w:t xml:space="preserve">Traditionally, the survival of the whole whānau, hapū, and iwi was dependent upon everyone who made it up, and therefore each and every person within the group had her or his own intrinsic value. </w:t>
      </w:r>
      <w:r>
        <w:t>Mā</w:t>
      </w:r>
      <w:r w:rsidRPr="00BE1F9B">
        <w:t xml:space="preserve">ori women across </w:t>
      </w:r>
      <w:r>
        <w:t>whā</w:t>
      </w:r>
      <w:r w:rsidRPr="00BE1F9B">
        <w:t xml:space="preserve">nau, </w:t>
      </w:r>
      <w:r>
        <w:t>hapū</w:t>
      </w:r>
      <w:r w:rsidRPr="00BE1F9B">
        <w:t xml:space="preserve"> and iwi have always held central roles in all parts of </w:t>
      </w:r>
      <w:r>
        <w:t>Mā</w:t>
      </w:r>
      <w:r w:rsidRPr="00BE1F9B">
        <w:t xml:space="preserve">ori </w:t>
      </w:r>
      <w:r w:rsidRPr="00BE1F9B">
        <w:lastRenderedPageBreak/>
        <w:t>society.</w:t>
      </w:r>
      <w:r>
        <w:t xml:space="preserve"> The place of Māori women in critical leadership roles is evident across iwi and through generations. There is significant documentation across Aotearoa that establishes that Māori women had and have central leadership roles that come both through whakapapa and their actions among our people (Mahuika, 1974; Pere, 1982; Smith, 1992; Irwin, 1992; Pihama, 2001; Mikaere, 2017). Māori women signed Te Tiriti o Waitangi on behalf of their hapū or iwi, and it is clear there would have been more Māori women signatories had the missionaries not imposed their colonial gender upon Māori (Orange, </w:t>
      </w:r>
      <w:r w:rsidRPr="004B042D">
        <w:t>1987</w:t>
      </w:r>
      <w:r>
        <w:t xml:space="preserve">; Simpson, </w:t>
      </w:r>
      <w:r w:rsidRPr="00126A0C">
        <w:t>2011</w:t>
      </w:r>
      <w:r>
        <w:t xml:space="preserve">).  </w:t>
      </w:r>
    </w:p>
    <w:p w14:paraId="5EDC27AB" w14:textId="2A9F7D7B" w:rsidR="00187209" w:rsidRPr="005C503A" w:rsidRDefault="00187209" w:rsidP="005C503A">
      <w:pPr>
        <w:rPr>
          <w:color w:val="000000" w:themeColor="text1"/>
        </w:rPr>
      </w:pPr>
      <w:r w:rsidRPr="005C503A">
        <w:rPr>
          <w:color w:val="000000" w:themeColor="text1"/>
        </w:rPr>
        <w:t>Throughout Aotearoa we have the names of our female ancestors that have been gifted to hapū, iwi, wh</w:t>
      </w:r>
      <w:r w:rsidR="005C503A" w:rsidRPr="005C503A">
        <w:rPr>
          <w:color w:val="000000" w:themeColor="text1"/>
        </w:rPr>
        <w:t xml:space="preserve">arenui and places. </w:t>
      </w:r>
      <w:r w:rsidRPr="005C503A">
        <w:rPr>
          <w:color w:val="000000" w:themeColor="text1"/>
        </w:rPr>
        <w:t xml:space="preserve">We know the significance of naming within the Māori world and therefore the importance of those places, spaces and collectives reflects the mana of those tūpuna wahine (Seed-Pihama, 2017). Aroha Yates-Smith (1998) highlighted the vast number of wahine atua (Māori women deities) that have significant roles in the wellbeing, guardianship and protection of all living things in this land. </w:t>
      </w:r>
      <w:r w:rsidRPr="005C503A">
        <w:rPr>
          <w:color w:val="000000" w:themeColor="text1"/>
          <w:highlight w:val="white"/>
        </w:rPr>
        <w:t>A wide range of mātauranga Māori sources make it clear that there is a powerful co-relationship between women and land (Walters et al., 2011; Mikaere, 2017</w:t>
      </w:r>
      <w:r w:rsidR="008B29E1">
        <w:rPr>
          <w:color w:val="000000" w:themeColor="text1"/>
          <w:highlight w:val="white"/>
        </w:rPr>
        <w:t>)</w:t>
      </w:r>
      <w:r w:rsidRPr="005C503A">
        <w:rPr>
          <w:color w:val="000000" w:themeColor="text1"/>
          <w:highlight w:val="white"/>
        </w:rPr>
        <w:t>. Te reo also symbolises the significant role that women carry as ‘whare tangata’ (Mikaere, 2017; Pihama, 2001).</w:t>
      </w:r>
    </w:p>
    <w:p w14:paraId="4E67B944" w14:textId="5F3AD885" w:rsidR="00187209" w:rsidRDefault="00187209" w:rsidP="00187209">
      <w:r>
        <w:t>Pūrākau informed and guided relationships and understandings in regards to how we engaged in relationships, and what was acceptable and unacceptable behaviour. For example, the story of Niwareka and Mataora provides us with insights into the role of whānau in healing in a context of whānau violence (Pihama &amp; Cameron</w:t>
      </w:r>
      <w:r w:rsidR="005C503A">
        <w:t>,</w:t>
      </w:r>
      <w:r w:rsidR="0060364E">
        <w:t xml:space="preserve"> 2012). </w:t>
      </w:r>
      <w:r>
        <w:t xml:space="preserve">Niwareka, as a descendant of the Rarohenga, the underworld, journeyed to the </w:t>
      </w:r>
      <w:r w:rsidR="006A1407">
        <w:t xml:space="preserve">human </w:t>
      </w:r>
      <w:r>
        <w:t xml:space="preserve">world, where she met and partnered with Mataora. The story tells us that when Mataora was abusive towards Niwareka she returned to her whānau in Rarohenga and it was through a whānau process that issues were resolved, culminating in Mataora committing to ensure that violence was not perpetuated in this human world. The decision as to whether Niwareka would return was a collective whānau decision, with Niwareka seeking council with her whānau, including her father, Uetonga, and her siblings. A clear learning from this ancestral story is that whānau is critical to determining what actions we need to take in resolving issues of family violence or abuse. </w:t>
      </w:r>
    </w:p>
    <w:p w14:paraId="7C3B4AB4" w14:textId="76D48B0C" w:rsidR="00187209" w:rsidRDefault="00187209" w:rsidP="00677E53">
      <w:pPr>
        <w:pStyle w:val="Heading1"/>
      </w:pPr>
      <w:r w:rsidRPr="004C1519">
        <w:t xml:space="preserve">Understanding </w:t>
      </w:r>
      <w:r w:rsidR="005C503A">
        <w:t>h</w:t>
      </w:r>
      <w:r>
        <w:t xml:space="preserve">istorical </w:t>
      </w:r>
      <w:r w:rsidR="005C503A">
        <w:t>t</w:t>
      </w:r>
      <w:r>
        <w:t>rauma</w:t>
      </w:r>
    </w:p>
    <w:p w14:paraId="6CF3B1CB" w14:textId="1B1DDE14" w:rsidR="00187209" w:rsidRPr="0021755C" w:rsidRDefault="00187209" w:rsidP="0021755C">
      <w:pPr>
        <w:widowControl w:val="0"/>
        <w:autoSpaceDE w:val="0"/>
        <w:autoSpaceDN w:val="0"/>
        <w:adjustRightInd w:val="0"/>
        <w:rPr>
          <w:rFonts w:cs="Arial"/>
          <w:szCs w:val="22"/>
          <w:lang w:val="en-US"/>
        </w:rPr>
      </w:pPr>
      <w:r>
        <w:t xml:space="preserve">The term “historical trauma” was initially coined in relation to understanding the traumatic experiences of holocaust survivors and the subsequent impact of those experiences on following generations (Brave Heart, 2000; Evans-Campbell, 2008). It has also been used in discussion of the intergenerational impact of Japanese concentration camps during WWII (Drinnon, 1987; Howard, 2008; Nagata, 1991). Brave Heart and DeBruyn (1998) argue that holocaust survivor literature provides analysis and applied knowledge that informs historical trauma theory for Indigenous </w:t>
      </w:r>
      <w:r w:rsidR="005C503A">
        <w:t>p</w:t>
      </w:r>
      <w:r>
        <w:t xml:space="preserve">eoples. It is powerfully argued by Indigenous scholars that the genocidal and ethnocidal acts perpetuated against Native peoples have caused intergenerational transfer of trauma similar to that </w:t>
      </w:r>
      <w:r>
        <w:lastRenderedPageBreak/>
        <w:t>of descendants of holocaust survivors (Brave Heart &amp; DeBruyn, 1998; Duran &amp; Duran, 1995). However, it is also clearly stated that there are critical differences with regard to Jewish and Indigenous experiences of historical trauma</w:t>
      </w:r>
      <w:r w:rsidRPr="0045344B">
        <w:t xml:space="preserve"> </w:t>
      </w:r>
      <w:r>
        <w:t xml:space="preserve">(Whitbeck, Adams, Hoyt </w:t>
      </w:r>
      <w:r w:rsidR="00932DDB">
        <w:t>&amp;</w:t>
      </w:r>
      <w:r>
        <w:t xml:space="preserve"> Chen</w:t>
      </w:r>
      <w:r w:rsidR="005C503A">
        <w:t>,</w:t>
      </w:r>
      <w:r>
        <w:t xml:space="preserve"> 2004). In particular it is important to understand that for Indigenous people we recognise that issues of historical trauma and loss are not seen as a singular event but are ongoing. </w:t>
      </w:r>
      <w:r>
        <w:rPr>
          <w:lang w:val="en-US"/>
        </w:rPr>
        <w:t xml:space="preserve">What these authors highlight is that </w:t>
      </w:r>
      <w:r w:rsidRPr="0021755C">
        <w:rPr>
          <w:rFonts w:cs="Arial"/>
          <w:szCs w:val="22"/>
          <w:lang w:val="en-US"/>
        </w:rPr>
        <w:t xml:space="preserve">colonisation, by its very systemic and structural nature, includes multiple collective traumatic events that affect Indigenous </w:t>
      </w:r>
      <w:r w:rsidR="005C503A">
        <w:rPr>
          <w:rFonts w:cs="Arial"/>
          <w:szCs w:val="22"/>
          <w:lang w:val="en-US"/>
        </w:rPr>
        <w:t>p</w:t>
      </w:r>
      <w:r w:rsidRPr="0021755C">
        <w:rPr>
          <w:rFonts w:cs="Arial"/>
          <w:szCs w:val="22"/>
          <w:lang w:val="en-US"/>
        </w:rPr>
        <w:t xml:space="preserve">eoples. </w:t>
      </w:r>
    </w:p>
    <w:p w14:paraId="5BF89F66" w14:textId="41312F33" w:rsidR="00187209" w:rsidRDefault="00187209" w:rsidP="00015464">
      <w:pPr>
        <w:pStyle w:val="Normal1"/>
        <w:spacing w:before="0" w:after="120" w:line="312" w:lineRule="auto"/>
        <w:rPr>
          <w:rFonts w:ascii="Arial" w:hAnsi="Arial" w:cs="Arial"/>
          <w:szCs w:val="22"/>
        </w:rPr>
      </w:pPr>
      <w:r w:rsidRPr="0021755C">
        <w:rPr>
          <w:rFonts w:ascii="Arial" w:hAnsi="Arial" w:cs="Arial"/>
          <w:szCs w:val="22"/>
        </w:rPr>
        <w:t>A key element of historical trauma is the collective intergenerational trauma experienced as a result of “mass</w:t>
      </w:r>
      <w:r w:rsidR="0021755C">
        <w:rPr>
          <w:rFonts w:ascii="Arial" w:hAnsi="Arial" w:cs="Arial"/>
          <w:szCs w:val="22"/>
        </w:rPr>
        <w:t>ive cataclysmic events</w:t>
      </w:r>
      <w:r w:rsidR="005C503A">
        <w:rPr>
          <w:rFonts w:ascii="Arial" w:hAnsi="Arial" w:cs="Arial"/>
          <w:szCs w:val="22"/>
        </w:rPr>
        <w:t>.</w:t>
      </w:r>
      <w:r w:rsidR="0021755C">
        <w:rPr>
          <w:rFonts w:ascii="Arial" w:hAnsi="Arial" w:cs="Arial"/>
          <w:szCs w:val="22"/>
        </w:rPr>
        <w:t xml:space="preserve">” </w:t>
      </w:r>
      <w:r w:rsidRPr="0021755C">
        <w:rPr>
          <w:rFonts w:ascii="Arial" w:hAnsi="Arial" w:cs="Arial"/>
          <w:szCs w:val="22"/>
        </w:rPr>
        <w:t>This is clearly expressed by Karina Walters (2007) who states,</w:t>
      </w:r>
    </w:p>
    <w:tbl>
      <w:tblPr>
        <w:tblStyle w:val="TableGrid"/>
        <w:tblW w:w="0" w:type="auto"/>
        <w:tblLook w:val="04A0" w:firstRow="1" w:lastRow="0" w:firstColumn="1" w:lastColumn="0" w:noHBand="0" w:noVBand="1"/>
      </w:tblPr>
      <w:tblGrid>
        <w:gridCol w:w="9858"/>
      </w:tblGrid>
      <w:tr w:rsidR="002C1772" w:rsidRPr="00A62683" w14:paraId="08E72AD0" w14:textId="77777777" w:rsidTr="004B02AC">
        <w:tc>
          <w:tcPr>
            <w:tcW w:w="9858" w:type="dxa"/>
            <w:tcBorders>
              <w:top w:val="nil"/>
              <w:left w:val="nil"/>
              <w:bottom w:val="nil"/>
              <w:right w:val="nil"/>
            </w:tcBorders>
            <w:shd w:val="clear" w:color="auto" w:fill="4F81BD"/>
          </w:tcPr>
          <w:p w14:paraId="2BE4F065" w14:textId="56AF81E0" w:rsidR="002C1772" w:rsidRPr="002C1772" w:rsidRDefault="002C1772" w:rsidP="00620911">
            <w:pPr>
              <w:pStyle w:val="BodyText"/>
              <w:keepNext/>
              <w:spacing w:before="240" w:after="240" w:line="312" w:lineRule="auto"/>
              <w:rPr>
                <w:rFonts w:ascii="Arial" w:hAnsi="Arial" w:cs="Arial"/>
                <w:i/>
                <w:lang w:val="en-NZ"/>
              </w:rPr>
            </w:pPr>
            <w:r w:rsidRPr="002C1772">
              <w:rPr>
                <w:rFonts w:ascii="Arial" w:hAnsi="Arial" w:cs="Arial"/>
                <w:i/>
                <w:color w:val="FFFFFF" w:themeColor="background1"/>
                <w:lang w:val="en-NZ"/>
              </w:rPr>
              <w:t>When I am talking about historical trauma I am talking about massive cataclysmic events that target a collective. I am not talking about single event discriminatory experiences that’s between one or two people but a whole group of people or community that is targeted. In our communities we talk about how this trauma is transmitted over generations so I may not have experienced the Trail of Tears, my great grandparents did so therefore what aspects of that trauma do I still carry in my history to this day (Walters, 2007, n.p.)</w:t>
            </w:r>
            <w:r w:rsidR="00620911">
              <w:rPr>
                <w:rFonts w:ascii="Arial" w:hAnsi="Arial" w:cs="Arial"/>
                <w:i/>
                <w:color w:val="FFFFFF" w:themeColor="background1"/>
                <w:lang w:val="en-NZ"/>
              </w:rPr>
              <w:t>.</w:t>
            </w:r>
          </w:p>
        </w:tc>
      </w:tr>
    </w:tbl>
    <w:p w14:paraId="3E412CB0" w14:textId="1D011C3E" w:rsidR="005C503A" w:rsidRDefault="00187209" w:rsidP="00015464">
      <w:pPr>
        <w:spacing w:before="120"/>
      </w:pPr>
      <w:r w:rsidRPr="004B02AC">
        <w:rPr>
          <w:rFonts w:cs="Arial"/>
          <w:szCs w:val="22"/>
        </w:rPr>
        <w:t>Historical trauma is therefore a collective and intergenerational trauma experience and as such requires an app</w:t>
      </w:r>
      <w:r w:rsidRPr="004B02AC">
        <w:t>roach that is distinct from, and moves beyond trauma experienced on an individual level. It is the de</w:t>
      </w:r>
      <w:r>
        <w:t xml:space="preserve">liberate and intentional acts of violence and oppression upon one group of people by another group of people. For Indigenous </w:t>
      </w:r>
      <w:r w:rsidR="005C503A">
        <w:t>p</w:t>
      </w:r>
      <w:r>
        <w:t>eoples this includes the intentional and deliberate acts of violence that we experience through colonisation</w:t>
      </w:r>
      <w:r w:rsidR="003C747B">
        <w:t xml:space="preserve"> within all parts of the political, social, cultural and economic structures. </w:t>
      </w:r>
      <w:r>
        <w:t xml:space="preserve">Tessa Evans-Campbell (2008) identifies three distinguishing features or characteristics of Historical Trauma for Native American communities as: </w:t>
      </w:r>
    </w:p>
    <w:p w14:paraId="0F93FD88" w14:textId="676E1725" w:rsidR="005C503A" w:rsidRPr="005C503A" w:rsidRDefault="00187209" w:rsidP="005C503A">
      <w:pPr>
        <w:pStyle w:val="ListParagraph"/>
        <w:numPr>
          <w:ilvl w:val="0"/>
          <w:numId w:val="42"/>
        </w:numPr>
        <w:spacing w:line="312" w:lineRule="auto"/>
        <w:rPr>
          <w:rFonts w:ascii="Arial" w:hAnsi="Arial" w:cs="Arial"/>
          <w:szCs w:val="22"/>
        </w:rPr>
      </w:pPr>
      <w:r w:rsidRPr="005C503A">
        <w:rPr>
          <w:rFonts w:ascii="Arial" w:hAnsi="Arial" w:cs="Arial"/>
          <w:szCs w:val="22"/>
        </w:rPr>
        <w:t>Widespread in American Indian and Alaska Native (AIAN) communities and many people in the community are affected by the event.</w:t>
      </w:r>
      <w:r w:rsidRPr="005C503A" w:rsidDel="00AA2ED5">
        <w:rPr>
          <w:rFonts w:ascii="Arial" w:hAnsi="Arial" w:cs="Arial"/>
          <w:szCs w:val="22"/>
        </w:rPr>
        <w:t xml:space="preserve"> </w:t>
      </w:r>
    </w:p>
    <w:p w14:paraId="700CCE64" w14:textId="4B0F7743" w:rsidR="005C503A" w:rsidRPr="005C503A" w:rsidRDefault="00187209" w:rsidP="005C503A">
      <w:pPr>
        <w:pStyle w:val="ListParagraph"/>
        <w:numPr>
          <w:ilvl w:val="0"/>
          <w:numId w:val="42"/>
        </w:numPr>
        <w:spacing w:line="312" w:lineRule="auto"/>
        <w:rPr>
          <w:rFonts w:ascii="Arial" w:hAnsi="Arial" w:cs="Arial"/>
          <w:szCs w:val="22"/>
        </w:rPr>
      </w:pPr>
      <w:r w:rsidRPr="005C503A">
        <w:rPr>
          <w:rFonts w:ascii="Arial" w:hAnsi="Arial" w:cs="Arial"/>
          <w:szCs w:val="22"/>
        </w:rPr>
        <w:t>Generating high levels of collective distress and mourning in contemporary communities.</w:t>
      </w:r>
      <w:r w:rsidRPr="005C503A" w:rsidDel="00AA2ED5">
        <w:rPr>
          <w:rFonts w:ascii="Arial" w:hAnsi="Arial" w:cs="Arial"/>
          <w:szCs w:val="22"/>
        </w:rPr>
        <w:t xml:space="preserve"> </w:t>
      </w:r>
    </w:p>
    <w:p w14:paraId="3EB5AF22" w14:textId="1F84DCDB" w:rsidR="00187209" w:rsidRPr="005C503A" w:rsidRDefault="00187209" w:rsidP="005C503A">
      <w:pPr>
        <w:pStyle w:val="ListParagraph"/>
        <w:numPr>
          <w:ilvl w:val="0"/>
          <w:numId w:val="42"/>
        </w:numPr>
        <w:spacing w:line="312" w:lineRule="auto"/>
        <w:rPr>
          <w:rFonts w:ascii="Arial" w:hAnsi="Arial" w:cs="Arial"/>
          <w:szCs w:val="22"/>
        </w:rPr>
      </w:pPr>
      <w:r w:rsidRPr="005C503A">
        <w:rPr>
          <w:rFonts w:ascii="Arial" w:hAnsi="Arial" w:cs="Arial"/>
          <w:szCs w:val="22"/>
        </w:rPr>
        <w:t>Generally purposely perpetuated by outsid</w:t>
      </w:r>
      <w:r w:rsidR="00C70F59">
        <w:rPr>
          <w:rFonts w:ascii="Arial" w:hAnsi="Arial" w:cs="Arial"/>
          <w:szCs w:val="22"/>
        </w:rPr>
        <w:t>ers with destructive intent (p.</w:t>
      </w:r>
      <w:r w:rsidRPr="005C503A">
        <w:rPr>
          <w:rFonts w:ascii="Arial" w:hAnsi="Arial" w:cs="Arial"/>
          <w:szCs w:val="22"/>
        </w:rPr>
        <w:t>322).</w:t>
      </w:r>
    </w:p>
    <w:p w14:paraId="6D1A46D7" w14:textId="77777777" w:rsidR="005C503A" w:rsidRDefault="005C503A" w:rsidP="005C503A">
      <w:pPr>
        <w:pStyle w:val="ListParagraph"/>
        <w:ind w:left="1080"/>
      </w:pPr>
    </w:p>
    <w:p w14:paraId="0C330565" w14:textId="02F9C576" w:rsidR="00187209" w:rsidRDefault="00187209" w:rsidP="0021755C">
      <w:r>
        <w:t>Duran and Duran (1995) also discuss historical tra</w:t>
      </w:r>
      <w:r w:rsidR="005C503A">
        <w:t>uma as a process of “</w:t>
      </w:r>
      <w:r>
        <w:t>wounding.</w:t>
      </w:r>
      <w:r w:rsidR="005C503A">
        <w:t>”</w:t>
      </w:r>
      <w:r>
        <w:t xml:space="preserve"> This is described through the concept of the “soul wound</w:t>
      </w:r>
      <w:r w:rsidR="00ED72B5">
        <w:t>,</w:t>
      </w:r>
      <w:r>
        <w:t>” which sits at the core of generations of Indigenous suffering and is a central element in understanding historical trauma. Duran (2006) writes that in Native communities, people talked of issues within the community in relation to “spiritual injury, soul sickness, soul wounding and ancestral hurt” (p.15)</w:t>
      </w:r>
      <w:r w:rsidR="00B92C16">
        <w:t>.</w:t>
      </w:r>
      <w:r>
        <w:t xml:space="preserve"> Clearly each of these concepts links directly to the impact of historical trauma on a spiritual and soul level. Duran (2006) provides insight into how Native elders related the significance of the soul wounding practice. He writes: </w:t>
      </w:r>
    </w:p>
    <w:p w14:paraId="1563EE61" w14:textId="1D77A7F9" w:rsidR="002C1772" w:rsidRDefault="002C1772" w:rsidP="0021755C"/>
    <w:tbl>
      <w:tblPr>
        <w:tblStyle w:val="TableGrid"/>
        <w:tblW w:w="0" w:type="auto"/>
        <w:tblLook w:val="04A0" w:firstRow="1" w:lastRow="0" w:firstColumn="1" w:lastColumn="0" w:noHBand="0" w:noVBand="1"/>
      </w:tblPr>
      <w:tblGrid>
        <w:gridCol w:w="9858"/>
      </w:tblGrid>
      <w:tr w:rsidR="002C1772" w:rsidRPr="00A62683" w14:paraId="53AF8A1B" w14:textId="77777777" w:rsidTr="004B02AC">
        <w:tc>
          <w:tcPr>
            <w:tcW w:w="9858" w:type="dxa"/>
            <w:tcBorders>
              <w:top w:val="nil"/>
              <w:left w:val="nil"/>
              <w:bottom w:val="nil"/>
              <w:right w:val="nil"/>
            </w:tcBorders>
            <w:shd w:val="clear" w:color="auto" w:fill="4F81BD"/>
          </w:tcPr>
          <w:p w14:paraId="7BD273C0" w14:textId="457BA994" w:rsidR="002C1772" w:rsidRPr="002C1772" w:rsidRDefault="002C1772" w:rsidP="002C1772">
            <w:pPr>
              <w:pStyle w:val="BodyText"/>
              <w:spacing w:before="240" w:after="240" w:line="312" w:lineRule="auto"/>
              <w:rPr>
                <w:rFonts w:ascii="Arial" w:hAnsi="Arial" w:cs="Arial"/>
                <w:i/>
                <w:color w:val="FFFFFF" w:themeColor="background1"/>
              </w:rPr>
            </w:pPr>
            <w:r w:rsidRPr="00A06052">
              <w:lastRenderedPageBreak/>
              <w:t xml:space="preserve"> </w:t>
            </w:r>
            <w:r w:rsidRPr="002C1772">
              <w:rPr>
                <w:rFonts w:ascii="Arial" w:hAnsi="Arial" w:cs="Arial"/>
                <w:i/>
                <w:color w:val="FFFFFF" w:themeColor="background1"/>
              </w:rPr>
              <w:t>They explained that the ancestral wounding that occurred in the community was being passed down through the generations. They gave accounts of how the genocide had occurred in their area. Between the years 1870 and 1900, at least 80% of the population had been systematically exterminated. In addition, they explained how the earth had been wounded and how, when the earth is wounded, the people who are caretakers of the earth also are wounded at a very deep soul level. Earth wounding speaks to the process whereby people become destructive to the natural environment and disturb the natural order (p.16).</w:t>
            </w:r>
            <w:hyperlink w:anchor="_ENREF_1" w:tooltip="Tse, 2007 #21" w:history="1"/>
          </w:p>
        </w:tc>
      </w:tr>
    </w:tbl>
    <w:p w14:paraId="0E2CE3DA" w14:textId="09EF9DCD" w:rsidR="00187209" w:rsidRDefault="00187209" w:rsidP="002C1772">
      <w:pPr>
        <w:spacing w:before="240"/>
      </w:pPr>
      <w:r>
        <w:t xml:space="preserve">As </w:t>
      </w:r>
      <w:r w:rsidR="003C747B">
        <w:t xml:space="preserve">Yellow Horse &amp; </w:t>
      </w:r>
      <w:r>
        <w:t>Brave Heart (2005) state, historical trauma is “cumulative emotional and psychological wounding, over the lifespan and across generations, emanating from massiv</w:t>
      </w:r>
      <w:r w:rsidR="00C70F59">
        <w:t>e group trauma experiences” (p.</w:t>
      </w:r>
      <w:r>
        <w:t>58)</w:t>
      </w:r>
      <w:r w:rsidR="00B92C16">
        <w:t>.</w:t>
      </w:r>
      <w:r>
        <w:t xml:space="preserve"> Million (2013) also emphasises the cataclysmic impact of historical and colonial trauma on both the individual and the collective.</w:t>
      </w:r>
    </w:p>
    <w:p w14:paraId="6B2DD91E" w14:textId="2F6B1EFC" w:rsidR="00187209" w:rsidRDefault="00187209" w:rsidP="00187209">
      <w:pPr>
        <w:pStyle w:val="Heading1"/>
        <w:spacing w:after="0" w:line="360" w:lineRule="auto"/>
        <w:jc w:val="both"/>
      </w:pPr>
      <w:r>
        <w:rPr>
          <w:lang w:val="mi-NZ"/>
        </w:rPr>
        <w:t xml:space="preserve">Colonisation and </w:t>
      </w:r>
      <w:r w:rsidR="00F1299D">
        <w:rPr>
          <w:lang w:val="mi-NZ"/>
        </w:rPr>
        <w:t>h</w:t>
      </w:r>
      <w:r>
        <w:rPr>
          <w:lang w:val="mi-NZ"/>
        </w:rPr>
        <w:t xml:space="preserve">istorical </w:t>
      </w:r>
      <w:r w:rsidR="00F1299D">
        <w:rPr>
          <w:lang w:val="mi-NZ"/>
        </w:rPr>
        <w:t>t</w:t>
      </w:r>
      <w:r>
        <w:rPr>
          <w:lang w:val="mi-NZ"/>
        </w:rPr>
        <w:t>rauma in Aotearoa</w:t>
      </w:r>
    </w:p>
    <w:p w14:paraId="58EF3335" w14:textId="60BC1FE4" w:rsidR="00187209" w:rsidRDefault="00187209" w:rsidP="00187209">
      <w:pPr>
        <w:rPr>
          <w:lang w:val="en-US"/>
        </w:rPr>
      </w:pPr>
      <w:r w:rsidRPr="00B55ACE">
        <w:rPr>
          <w:lang w:val="en-US"/>
        </w:rPr>
        <w:t>Colonisation provides a powerful explanation for the onset and trajectory of historical trauma</w:t>
      </w:r>
      <w:r>
        <w:rPr>
          <w:lang w:val="en-US"/>
        </w:rPr>
        <w:t xml:space="preserve"> (</w:t>
      </w:r>
      <w:r w:rsidRPr="00B55ACE">
        <w:rPr>
          <w:lang w:val="en-US"/>
        </w:rPr>
        <w:t>Duran &amp; Duran</w:t>
      </w:r>
      <w:r>
        <w:rPr>
          <w:lang w:val="en-US"/>
        </w:rPr>
        <w:t>,</w:t>
      </w:r>
      <w:r w:rsidRPr="00B55ACE">
        <w:rPr>
          <w:lang w:val="en-US"/>
        </w:rPr>
        <w:t xml:space="preserve"> 1995; Duran, 2006</w:t>
      </w:r>
      <w:r>
        <w:rPr>
          <w:lang w:val="en-US"/>
        </w:rPr>
        <w:t>;</w:t>
      </w:r>
      <w:r w:rsidRPr="00B55ACE">
        <w:rPr>
          <w:lang w:val="en-US"/>
        </w:rPr>
        <w:t xml:space="preserve"> Lawson-Te Aho &amp; L</w:t>
      </w:r>
      <w:r>
        <w:rPr>
          <w:lang w:val="en-US"/>
        </w:rPr>
        <w:t>iu, 2010). The literature on Mā</w:t>
      </w:r>
      <w:r w:rsidRPr="00B55ACE">
        <w:rPr>
          <w:lang w:val="en-US"/>
        </w:rPr>
        <w:t>ori he</w:t>
      </w:r>
      <w:r>
        <w:rPr>
          <w:lang w:val="en-US"/>
        </w:rPr>
        <w:t>alth outcomes emphasises that Mā</w:t>
      </w:r>
      <w:r w:rsidRPr="00B55ACE">
        <w:rPr>
          <w:lang w:val="en-US"/>
        </w:rPr>
        <w:t xml:space="preserve">ori health </w:t>
      </w:r>
      <w:r>
        <w:rPr>
          <w:lang w:val="en-US"/>
        </w:rPr>
        <w:t xml:space="preserve">disparities, including the experience of whānau violence, are attributable to colonisation, dispossession and ongoing experiences of personal and systemic racism (Robson &amp; Harris, 2007). </w:t>
      </w:r>
      <w:r w:rsidRPr="00B55ACE">
        <w:rPr>
          <w:lang w:val="en-US"/>
        </w:rPr>
        <w:t>Marsden (1986) contended that conti</w:t>
      </w:r>
      <w:r>
        <w:rPr>
          <w:lang w:val="en-US"/>
        </w:rPr>
        <w:t xml:space="preserve">nued and persistent deprivation, </w:t>
      </w:r>
      <w:r w:rsidRPr="00B55ACE">
        <w:rPr>
          <w:lang w:val="en-US"/>
        </w:rPr>
        <w:t>oppression</w:t>
      </w:r>
      <w:r>
        <w:rPr>
          <w:lang w:val="en-US"/>
        </w:rPr>
        <w:t xml:space="preserve">, </w:t>
      </w:r>
      <w:r w:rsidRPr="00B55ACE">
        <w:rPr>
          <w:lang w:val="en-US"/>
        </w:rPr>
        <w:t>intrusion</w:t>
      </w:r>
      <w:r>
        <w:rPr>
          <w:lang w:val="en-US"/>
        </w:rPr>
        <w:t>, imposition, manipulation and e</w:t>
      </w:r>
      <w:r w:rsidRPr="00B55ACE">
        <w:rPr>
          <w:lang w:val="en-US"/>
        </w:rPr>
        <w:t>xploitati</w:t>
      </w:r>
      <w:r>
        <w:rPr>
          <w:lang w:val="en-US"/>
        </w:rPr>
        <w:t>on of tangata whenua through colonisation</w:t>
      </w:r>
      <w:r w:rsidRPr="00B55ACE">
        <w:rPr>
          <w:lang w:val="en-US"/>
        </w:rPr>
        <w:t xml:space="preserve"> pos</w:t>
      </w:r>
      <w:r>
        <w:rPr>
          <w:lang w:val="en-US"/>
        </w:rPr>
        <w:t>es a serious threat to our cultural, spiritual, emotional and physical wellbeing</w:t>
      </w:r>
      <w:r w:rsidRPr="00B55ACE">
        <w:rPr>
          <w:lang w:val="en-US"/>
        </w:rPr>
        <w:t xml:space="preserve">. </w:t>
      </w:r>
      <w:r>
        <w:rPr>
          <w:lang w:val="en-US"/>
        </w:rPr>
        <w:t>As such, Mā</w:t>
      </w:r>
      <w:r w:rsidRPr="00B55ACE">
        <w:rPr>
          <w:lang w:val="en-US"/>
        </w:rPr>
        <w:t>ori health development is the story of struggle</w:t>
      </w:r>
      <w:r>
        <w:rPr>
          <w:lang w:val="en-US"/>
        </w:rPr>
        <w:t xml:space="preserve">, challenge, threat, adaptation, </w:t>
      </w:r>
      <w:r w:rsidRPr="00B55ACE">
        <w:rPr>
          <w:lang w:val="en-US"/>
        </w:rPr>
        <w:t>adjustment</w:t>
      </w:r>
      <w:r>
        <w:rPr>
          <w:lang w:val="en-US"/>
        </w:rPr>
        <w:t xml:space="preserve"> and resilience (Durie, 1998)</w:t>
      </w:r>
      <w:r w:rsidRPr="00B55ACE">
        <w:rPr>
          <w:lang w:val="en-US"/>
        </w:rPr>
        <w:t>. In Aotearoa</w:t>
      </w:r>
      <w:r>
        <w:rPr>
          <w:lang w:val="en-US"/>
        </w:rPr>
        <w:t>,</w:t>
      </w:r>
      <w:r w:rsidRPr="00B55ACE">
        <w:rPr>
          <w:lang w:val="en-US"/>
        </w:rPr>
        <w:t xml:space="preserve"> colonisation </w:t>
      </w:r>
      <w:r w:rsidR="008C10FA">
        <w:rPr>
          <w:lang w:val="en-US"/>
        </w:rPr>
        <w:t>is characteris</w:t>
      </w:r>
      <w:r>
        <w:rPr>
          <w:lang w:val="en-US"/>
        </w:rPr>
        <w:t>ed by extensive acts of violence upon</w:t>
      </w:r>
      <w:r w:rsidRPr="00B55ACE">
        <w:rPr>
          <w:lang w:val="en-US"/>
        </w:rPr>
        <w:t xml:space="preserve"> </w:t>
      </w:r>
      <w:r>
        <w:rPr>
          <w:lang w:val="en-US"/>
        </w:rPr>
        <w:t>Māori (</w:t>
      </w:r>
      <w:r w:rsidRPr="00FE1DBA">
        <w:rPr>
          <w:color w:val="000000"/>
          <w:lang w:val="en-US"/>
        </w:rPr>
        <w:t>Kruger et</w:t>
      </w:r>
      <w:r w:rsidR="008C10FA">
        <w:rPr>
          <w:color w:val="000000"/>
          <w:lang w:val="en-US"/>
        </w:rPr>
        <w:t xml:space="preserve"> </w:t>
      </w:r>
      <w:r w:rsidRPr="00FE1DBA">
        <w:rPr>
          <w:color w:val="000000"/>
          <w:lang w:val="en-US"/>
        </w:rPr>
        <w:t>al</w:t>
      </w:r>
      <w:r w:rsidR="008C10FA">
        <w:rPr>
          <w:color w:val="000000"/>
          <w:lang w:val="en-US"/>
        </w:rPr>
        <w:t>.,</w:t>
      </w:r>
      <w:r w:rsidRPr="00FE1DBA">
        <w:rPr>
          <w:color w:val="000000"/>
          <w:lang w:val="en-US"/>
        </w:rPr>
        <w:t xml:space="preserve"> 2004).</w:t>
      </w:r>
    </w:p>
    <w:p w14:paraId="017B314A" w14:textId="15784876" w:rsidR="00187209" w:rsidRDefault="00187209" w:rsidP="00187209">
      <w:r>
        <w:rPr>
          <w:lang w:val="en-US"/>
        </w:rPr>
        <w:t>Mā</w:t>
      </w:r>
      <w:r w:rsidRPr="00B55ACE">
        <w:rPr>
          <w:lang w:val="en-US"/>
        </w:rPr>
        <w:t xml:space="preserve">ori lives, language, culture, values, worldviews, knowledges and practices were </w:t>
      </w:r>
      <w:r>
        <w:rPr>
          <w:lang w:val="en-US"/>
        </w:rPr>
        <w:t>affected</w:t>
      </w:r>
      <w:r w:rsidRPr="00B55ACE">
        <w:rPr>
          <w:lang w:val="en-US"/>
        </w:rPr>
        <w:t xml:space="preserve"> in the most profound ways as customary practices were prohibited by law and cul</w:t>
      </w:r>
      <w:r>
        <w:rPr>
          <w:lang w:val="en-US"/>
        </w:rPr>
        <w:t>tural values were educated out of Mā</w:t>
      </w:r>
      <w:r w:rsidRPr="00B55ACE">
        <w:rPr>
          <w:lang w:val="en-US"/>
        </w:rPr>
        <w:t>ori children through active policies of assimilation (</w:t>
      </w:r>
      <w:r>
        <w:rPr>
          <w:lang w:val="en-US"/>
        </w:rPr>
        <w:t xml:space="preserve">Jackson, 1987; </w:t>
      </w:r>
      <w:r w:rsidRPr="00595FAB">
        <w:t>Te Whaiti,</w:t>
      </w:r>
      <w:r>
        <w:t xml:space="preserve"> McCarthy, &amp; Durie, 1997; Simon, 1998;</w:t>
      </w:r>
      <w:r>
        <w:rPr>
          <w:lang w:val="en-US"/>
        </w:rPr>
        <w:t xml:space="preserve"> Pihama, 2001</w:t>
      </w:r>
      <w:r w:rsidRPr="00B55ACE">
        <w:rPr>
          <w:lang w:val="en-US"/>
        </w:rPr>
        <w:t>). Forced compliance with the strategies of the colonial government w</w:t>
      </w:r>
      <w:r>
        <w:rPr>
          <w:lang w:val="en-US"/>
        </w:rPr>
        <w:t>as</w:t>
      </w:r>
      <w:r w:rsidRPr="00B55ACE">
        <w:rPr>
          <w:lang w:val="en-US"/>
        </w:rPr>
        <w:t xml:space="preserve"> </w:t>
      </w:r>
      <w:r>
        <w:rPr>
          <w:lang w:val="en-US"/>
        </w:rPr>
        <w:t>imposed upon whānau, hapū and iwi</w:t>
      </w:r>
      <w:r w:rsidRPr="00B55ACE">
        <w:rPr>
          <w:lang w:val="en-US"/>
        </w:rPr>
        <w:t xml:space="preserve"> through legislation, incarceration, confiscation of lands and other forms of punishment. In the early stages of colonisation, the death toll from introduced diseases, starvation and warfare saw the massive depopulation </w:t>
      </w:r>
      <w:r>
        <w:rPr>
          <w:lang w:val="en-US"/>
        </w:rPr>
        <w:t>of our people (Durie, 1994</w:t>
      </w:r>
      <w:r w:rsidRPr="00B55ACE">
        <w:rPr>
          <w:lang w:val="en-US"/>
        </w:rPr>
        <w:t>).</w:t>
      </w:r>
      <w:r>
        <w:rPr>
          <w:lang w:val="en-US"/>
        </w:rPr>
        <w:t xml:space="preserve"> </w:t>
      </w:r>
      <w:r>
        <w:t>Colonial violence and trauma have been experienced throughout Aotearoa by whānau, hapū and iw</w:t>
      </w:r>
      <w:r w:rsidRPr="004B02AC">
        <w:t xml:space="preserve">i. It is also important to note that the continued occupation of Indigenous lands highlights colonisation not as a </w:t>
      </w:r>
      <w:r w:rsidR="008C10FA" w:rsidRPr="004B02AC">
        <w:t>‘one off’</w:t>
      </w:r>
      <w:r w:rsidRPr="004B02AC">
        <w:t xml:space="preserve"> historical trauma event; rather it is an ongoing process of oppressing Indigenous </w:t>
      </w:r>
      <w:r w:rsidR="008C10FA" w:rsidRPr="004B02AC">
        <w:t>p</w:t>
      </w:r>
      <w:r w:rsidRPr="004B02AC">
        <w:t>eoples causing cumulative harm, while maintaining colonial white supremacy and its self-perpetuating systems of institutional racism.</w:t>
      </w:r>
      <w:r>
        <w:t xml:space="preserve">   </w:t>
      </w:r>
    </w:p>
    <w:p w14:paraId="2902DAAE" w14:textId="73311139" w:rsidR="00187209" w:rsidRDefault="00187209" w:rsidP="00187209">
      <w:r>
        <w:lastRenderedPageBreak/>
        <w:t xml:space="preserve">Research highlights that there are multiple layers of historical colonial disruption experienced by Māori people, including acts of dispossession of lands and resources; the marginalisation and denial of language, culture and knowledge forms; the imposition of colonial gendered beliefs and practices; the entrenchment of the nuclear family; the widespread impact of disease, alcohol, Christianity, trade and muskets; the establishment of </w:t>
      </w:r>
      <w:r w:rsidR="008C10FA">
        <w:t>W</w:t>
      </w:r>
      <w:r>
        <w:t>estern education systems grounded upon policies of assimilation and integration; and the institution of colonial governmental systems which subsumed Māori sovereignty and self-determination (Walker</w:t>
      </w:r>
      <w:r w:rsidR="008C10FA">
        <w:t xml:space="preserve">, </w:t>
      </w:r>
      <w:r>
        <w:t>1996; Simon</w:t>
      </w:r>
      <w:r w:rsidR="008C10FA">
        <w:t>,</w:t>
      </w:r>
      <w:r>
        <w:t xml:space="preserve"> 1998; </w:t>
      </w:r>
      <w:r>
        <w:rPr>
          <w:lang w:val="en-US"/>
        </w:rPr>
        <w:t>Simon &amp; Smith, 2001</w:t>
      </w:r>
      <w:r>
        <w:t>).</w:t>
      </w:r>
      <w:r w:rsidR="008C10FA">
        <w:t xml:space="preserve"> </w:t>
      </w:r>
      <w:r>
        <w:t>Wirihana and Smith (2014) note that historical trauma for Māori began with the loss of entire communities with colonial contact and wars and has been maintained through social, cultural, economic, spiritual domination that is maintained and reprodu</w:t>
      </w:r>
      <w:r w:rsidR="00B579A4">
        <w:t xml:space="preserve">ced through legal imperialism. </w:t>
      </w:r>
      <w:r>
        <w:t>This facilitates the disruption of language, cultural practices and of the socio-cultural systems that ensured the wellbeing of whānau, including the rupturing of “</w:t>
      </w:r>
      <w:r w:rsidRPr="00670387">
        <w:t>the sacredness of relationships between men and women and destroyed the nurturing protective environments required for child rearing</w:t>
      </w:r>
      <w:r>
        <w:t>” (p.201)</w:t>
      </w:r>
      <w:r w:rsidR="00B579A4">
        <w:t>.</w:t>
      </w:r>
    </w:p>
    <w:p w14:paraId="30C72778" w14:textId="58B0A214" w:rsidR="00187209" w:rsidRDefault="00187209" w:rsidP="00187209">
      <w:pPr>
        <w:rPr>
          <w:lang w:val="en-US"/>
        </w:rPr>
      </w:pPr>
      <w:r>
        <w:t>In exploring the impact of historical trauma on Māori it has become clear that the terminology associated with historical trauma theory is considered controversial in New Zealand. This is evidenced by the extreme reactions to Māori using the term “holocaust” in relation to the colonisation and traumatic events experienced by our tūpuna (Turia, 2000). Starblanket (2018) has provided significant argument that the intentional removal and displacement of Indigenous children from their comm</w:t>
      </w:r>
      <w:r w:rsidR="00F1700D">
        <w:t xml:space="preserve">unities is an act of genocide. </w:t>
      </w:r>
      <w:r>
        <w:t>This is also the situation</w:t>
      </w:r>
      <w:r w:rsidR="00F1700D">
        <w:t xml:space="preserve"> in Aotearoa. </w:t>
      </w:r>
      <w:r>
        <w:t xml:space="preserve">Love (2000) refers to the state systems as </w:t>
      </w:r>
      <w:r>
        <w:rPr>
          <w:lang w:val="en-US"/>
        </w:rPr>
        <w:t>“a white system that has historically contributed to state run programmes of cultural genocide and whānau dismemberment”</w:t>
      </w:r>
      <w:r w:rsidR="00C0220F">
        <w:rPr>
          <w:lang w:val="en-US"/>
        </w:rPr>
        <w:t xml:space="preserve"> </w:t>
      </w:r>
      <w:r>
        <w:rPr>
          <w:lang w:val="en-US"/>
        </w:rPr>
        <w:t xml:space="preserve">(p.29). As noted in the </w:t>
      </w:r>
      <w:r>
        <w:t>U</w:t>
      </w:r>
      <w:r w:rsidR="00D70717">
        <w:t xml:space="preserve">nited </w:t>
      </w:r>
      <w:r>
        <w:t>N</w:t>
      </w:r>
      <w:r w:rsidR="00D70717">
        <w:t>ations</w:t>
      </w:r>
      <w:r>
        <w:t xml:space="preserve"> Convention on the Prevention and Punishment of the Crime of Genocide </w:t>
      </w:r>
      <w:r w:rsidR="00D70717">
        <w:t xml:space="preserve">(1948) </w:t>
      </w:r>
      <w:r>
        <w:t>a defining element of genocide is “Forcibly transferring children of this group to another group</w:t>
      </w:r>
      <w:r w:rsidR="00D70717">
        <w:t>.”</w:t>
      </w:r>
      <w:r>
        <w:t xml:space="preserve"> </w:t>
      </w:r>
      <w:r w:rsidR="00D70717">
        <w:t>I</w:t>
      </w:r>
      <w:r>
        <w:t>t is argued that</w:t>
      </w:r>
      <w:r>
        <w:rPr>
          <w:lang w:val="en-US"/>
        </w:rPr>
        <w:t xml:space="preserve"> the removal of </w:t>
      </w:r>
      <w:r w:rsidR="00B50865">
        <w:t>large</w:t>
      </w:r>
      <w:r>
        <w:rPr>
          <w:lang w:val="en-US"/>
        </w:rPr>
        <w:t xml:space="preserve"> numbers Māori children from whānau and placement into the State system is an indication of the genocidal intent of the Crown (Moyle</w:t>
      </w:r>
      <w:r w:rsidR="00F1700D">
        <w:rPr>
          <w:lang w:val="en-US"/>
        </w:rPr>
        <w:t>,</w:t>
      </w:r>
      <w:r>
        <w:rPr>
          <w:lang w:val="en-US"/>
        </w:rPr>
        <w:t xml:space="preserve"> 2013).</w:t>
      </w:r>
    </w:p>
    <w:p w14:paraId="73FB0C4E" w14:textId="33EDBB98" w:rsidR="00187209" w:rsidRDefault="00187209" w:rsidP="00187209">
      <w:r>
        <w:t>All of these colonial mechanisms have contributed to the undermining of Māori understandings and practices of the fundamen</w:t>
      </w:r>
      <w:r w:rsidR="005A2FB8">
        <w:t>tal practice of whanaungatanga</w:t>
      </w:r>
      <w:r>
        <w:t>, which are central to the ability to maintain and</w:t>
      </w:r>
      <w:r w:rsidR="005A2FB8">
        <w:t xml:space="preserve"> uphold healthy relationships. </w:t>
      </w:r>
      <w:r>
        <w:t>They also distance us from the understandings and expectations of our traditional cultural understandings. It is clear that acts of whānau violence were not accepted by our ancestors. They are not, and never have been, a part of what it means to be Māori</w:t>
      </w:r>
      <w:r w:rsidRPr="00105A25">
        <w:t xml:space="preserve"> </w:t>
      </w:r>
      <w:r>
        <w:t>(Balzer et al., 1997). The violence we see within our homes and communities is behaviour that has become a part of the contemporary experience of many whānau; however, it does not originate from our tikanga. In fact it is antithetical to how our tūpuna viewed the role and place of women and children in our society. If we are to move towards enduring change and healing in this country we must face up to a history where, as Moana Jackson (2016) continually reminds us, colonisation was and continues to be a system that is extremely violent.</w:t>
      </w:r>
    </w:p>
    <w:p w14:paraId="7A400FB8" w14:textId="77777777" w:rsidR="00187209" w:rsidRPr="007D2B43" w:rsidRDefault="00187209" w:rsidP="009F20FA">
      <w:pPr>
        <w:pStyle w:val="Heading2"/>
      </w:pPr>
      <w:r w:rsidRPr="007D2B43">
        <w:lastRenderedPageBreak/>
        <w:t xml:space="preserve">Historical trauma events </w:t>
      </w:r>
    </w:p>
    <w:p w14:paraId="06A808D3" w14:textId="77777777" w:rsidR="00187209" w:rsidRDefault="00187209" w:rsidP="00187209">
      <w:pPr>
        <w:rPr>
          <w:rFonts w:cs="Arial"/>
          <w:szCs w:val="22"/>
        </w:rPr>
      </w:pPr>
      <w:r w:rsidRPr="007D2B43">
        <w:rPr>
          <w:rFonts w:cs="Arial"/>
          <w:szCs w:val="22"/>
        </w:rPr>
        <w:t>A key element to historical trauma theory and practice is that of identifying historical trauma events. Within the area of trauma testimony discussed by Brave Heart (1999</w:t>
      </w:r>
      <w:r>
        <w:rPr>
          <w:rFonts w:cs="Arial"/>
          <w:szCs w:val="22"/>
        </w:rPr>
        <w:t>) and</w:t>
      </w:r>
      <w:r w:rsidRPr="007D2B43">
        <w:rPr>
          <w:rFonts w:cs="Arial"/>
          <w:szCs w:val="22"/>
        </w:rPr>
        <w:t xml:space="preserve"> Brave Heart </w:t>
      </w:r>
      <w:r>
        <w:rPr>
          <w:rFonts w:cs="Arial"/>
          <w:szCs w:val="22"/>
        </w:rPr>
        <w:t>and</w:t>
      </w:r>
      <w:r w:rsidRPr="007D2B43">
        <w:rPr>
          <w:rFonts w:cs="Arial"/>
          <w:szCs w:val="22"/>
        </w:rPr>
        <w:t xml:space="preserve"> DeBruy</w:t>
      </w:r>
      <w:r>
        <w:rPr>
          <w:rFonts w:cs="Arial"/>
          <w:szCs w:val="22"/>
        </w:rPr>
        <w:t xml:space="preserve">n </w:t>
      </w:r>
      <w:r w:rsidRPr="007D2B43">
        <w:rPr>
          <w:rFonts w:cs="Arial"/>
          <w:szCs w:val="22"/>
        </w:rPr>
        <w:t xml:space="preserve"> </w:t>
      </w:r>
      <w:r>
        <w:rPr>
          <w:rFonts w:cs="Arial"/>
          <w:szCs w:val="22"/>
        </w:rPr>
        <w:t>(</w:t>
      </w:r>
      <w:r w:rsidRPr="007D2B43">
        <w:rPr>
          <w:rFonts w:cs="Arial"/>
          <w:szCs w:val="22"/>
        </w:rPr>
        <w:t xml:space="preserve">1998), a range of historical traumatic events was discussed alongside the impact of those events. Acts of genocide such as that perpetuated in the Wounded Knee Massacre were recounted by participants, as were the removal of Lakota children to boarding schools and the physical and sexual abuse experienced by generations of Lakota families; the subsequent impact of those experiences on descendants of boarding school survivors; and the ongoing racism that Lakota children faced </w:t>
      </w:r>
      <w:r>
        <w:rPr>
          <w:rFonts w:cs="Arial"/>
          <w:szCs w:val="22"/>
        </w:rPr>
        <w:t>in</w:t>
      </w:r>
      <w:r w:rsidRPr="007D2B43">
        <w:rPr>
          <w:rFonts w:cs="Arial"/>
          <w:szCs w:val="22"/>
        </w:rPr>
        <w:t xml:space="preserve"> day</w:t>
      </w:r>
      <w:r>
        <w:rPr>
          <w:rFonts w:cs="Arial"/>
          <w:szCs w:val="22"/>
        </w:rPr>
        <w:t>-</w:t>
      </w:r>
      <w:r w:rsidRPr="007D2B43">
        <w:rPr>
          <w:rFonts w:cs="Arial"/>
          <w:szCs w:val="22"/>
        </w:rPr>
        <w:t xml:space="preserve">school experiences. Giving testimony to those genocidal and ethnocidal events is critical for Indigenous peoples. </w:t>
      </w:r>
    </w:p>
    <w:p w14:paraId="4D142255" w14:textId="7F8791DE" w:rsidR="00187209" w:rsidRDefault="00187209" w:rsidP="00B9579B">
      <w:pPr>
        <w:rPr>
          <w:rFonts w:cs="Arial"/>
          <w:szCs w:val="22"/>
        </w:rPr>
      </w:pPr>
      <w:r>
        <w:rPr>
          <w:rFonts w:cs="Arial"/>
          <w:szCs w:val="22"/>
        </w:rPr>
        <w:t>Historical trauma approaches assert</w:t>
      </w:r>
      <w:r w:rsidRPr="007D2B43">
        <w:rPr>
          <w:rFonts w:cs="Arial"/>
          <w:szCs w:val="22"/>
        </w:rPr>
        <w:t xml:space="preserve"> that engaging with specific historical events and experiences is critical. Duran and Duran (1995) highlight specific periods within which traumatic events occurred for Native peoples that have impacted directly in terms of intergenerational PTSD</w:t>
      </w:r>
      <w:r w:rsidR="00B9579B">
        <w:rPr>
          <w:rFonts w:cs="Arial"/>
          <w:szCs w:val="22"/>
        </w:rPr>
        <w:t xml:space="preserve"> (post-</w:t>
      </w:r>
      <w:r w:rsidR="00B9579B" w:rsidRPr="00B9579B">
        <w:rPr>
          <w:rFonts w:cs="Arial"/>
          <w:szCs w:val="22"/>
        </w:rPr>
        <w:t>traumatic stress disorder)</w:t>
      </w:r>
      <w:r w:rsidRPr="007D2B43">
        <w:rPr>
          <w:rFonts w:cs="Arial"/>
          <w:szCs w:val="22"/>
        </w:rPr>
        <w:t>. The</w:t>
      </w:r>
      <w:r w:rsidR="005F3CA3">
        <w:rPr>
          <w:rFonts w:cs="Arial"/>
          <w:szCs w:val="22"/>
        </w:rPr>
        <w:t>se include: (i) f</w:t>
      </w:r>
      <w:r>
        <w:rPr>
          <w:rFonts w:cs="Arial"/>
          <w:szCs w:val="22"/>
        </w:rPr>
        <w:t xml:space="preserve">irst </w:t>
      </w:r>
      <w:r w:rsidR="005F3CA3">
        <w:rPr>
          <w:rFonts w:cs="Arial"/>
          <w:szCs w:val="22"/>
        </w:rPr>
        <w:t>c</w:t>
      </w:r>
      <w:r>
        <w:rPr>
          <w:rFonts w:cs="Arial"/>
          <w:szCs w:val="22"/>
        </w:rPr>
        <w:t xml:space="preserve">ontact - the impact of first contact where Indigenous </w:t>
      </w:r>
      <w:r w:rsidR="005F3CA3">
        <w:rPr>
          <w:rFonts w:cs="Arial"/>
          <w:szCs w:val="22"/>
        </w:rPr>
        <w:t>p</w:t>
      </w:r>
      <w:r>
        <w:rPr>
          <w:rFonts w:cs="Arial"/>
          <w:szCs w:val="22"/>
        </w:rPr>
        <w:t xml:space="preserve">eoples’ ways of being were systematically threatened and attacked; (ii) </w:t>
      </w:r>
      <w:r w:rsidR="005F3CA3">
        <w:rPr>
          <w:rFonts w:cs="Arial"/>
          <w:szCs w:val="22"/>
        </w:rPr>
        <w:t>e</w:t>
      </w:r>
      <w:r>
        <w:rPr>
          <w:rFonts w:cs="Arial"/>
          <w:szCs w:val="22"/>
        </w:rPr>
        <w:t xml:space="preserve">conomic </w:t>
      </w:r>
      <w:r w:rsidR="005F3CA3">
        <w:rPr>
          <w:rFonts w:cs="Arial"/>
          <w:szCs w:val="22"/>
        </w:rPr>
        <w:t>c</w:t>
      </w:r>
      <w:r>
        <w:rPr>
          <w:rFonts w:cs="Arial"/>
          <w:szCs w:val="22"/>
        </w:rPr>
        <w:t xml:space="preserve">ompetition </w:t>
      </w:r>
      <w:r w:rsidR="00E60CB3">
        <w:rPr>
          <w:rFonts w:cs="Arial"/>
          <w:szCs w:val="22"/>
        </w:rPr>
        <w:t>–</w:t>
      </w:r>
      <w:r>
        <w:rPr>
          <w:rFonts w:cs="Arial"/>
          <w:szCs w:val="22"/>
        </w:rPr>
        <w:t xml:space="preserve"> the confiscation of and dispossession from lands; (iii) </w:t>
      </w:r>
      <w:r w:rsidR="005F3CA3">
        <w:rPr>
          <w:rFonts w:cs="Arial"/>
          <w:szCs w:val="22"/>
        </w:rPr>
        <w:t>i</w:t>
      </w:r>
      <w:r>
        <w:rPr>
          <w:rFonts w:cs="Arial"/>
          <w:szCs w:val="22"/>
        </w:rPr>
        <w:t xml:space="preserve">nvasion </w:t>
      </w:r>
      <w:r w:rsidR="005F3CA3">
        <w:rPr>
          <w:rFonts w:cs="Arial"/>
          <w:szCs w:val="22"/>
        </w:rPr>
        <w:t>w</w:t>
      </w:r>
      <w:r>
        <w:rPr>
          <w:rFonts w:cs="Arial"/>
          <w:szCs w:val="22"/>
        </w:rPr>
        <w:t xml:space="preserve">ars </w:t>
      </w:r>
      <w:r w:rsidR="005F3CA3">
        <w:rPr>
          <w:rFonts w:cs="Arial"/>
          <w:szCs w:val="22"/>
        </w:rPr>
        <w:t>–</w:t>
      </w:r>
      <w:r>
        <w:rPr>
          <w:rFonts w:cs="Arial"/>
          <w:szCs w:val="22"/>
        </w:rPr>
        <w:t xml:space="preserve"> the policy of genocide, involving murder and displacement</w:t>
      </w:r>
      <w:r w:rsidRPr="006F55E1">
        <w:rPr>
          <w:rFonts w:cs="Arial"/>
          <w:szCs w:val="22"/>
        </w:rPr>
        <w:t xml:space="preserve"> </w:t>
      </w:r>
      <w:r>
        <w:rPr>
          <w:rFonts w:cs="Arial"/>
          <w:szCs w:val="22"/>
        </w:rPr>
        <w:t xml:space="preserve">of Indigenous communities; (iv) </w:t>
      </w:r>
      <w:r w:rsidR="005F3CA3">
        <w:rPr>
          <w:rFonts w:cs="Arial"/>
          <w:szCs w:val="22"/>
        </w:rPr>
        <w:t>s</w:t>
      </w:r>
      <w:r>
        <w:rPr>
          <w:rFonts w:cs="Arial"/>
          <w:szCs w:val="22"/>
        </w:rPr>
        <w:t xml:space="preserve">ubjugation and </w:t>
      </w:r>
      <w:r w:rsidR="005F3CA3">
        <w:rPr>
          <w:rFonts w:cs="Arial"/>
          <w:szCs w:val="22"/>
        </w:rPr>
        <w:t>r</w:t>
      </w:r>
      <w:r>
        <w:rPr>
          <w:rFonts w:cs="Arial"/>
          <w:szCs w:val="22"/>
        </w:rPr>
        <w:t xml:space="preserve">eservation, which included the removal of Native </w:t>
      </w:r>
      <w:r w:rsidR="005F3CA3">
        <w:rPr>
          <w:rFonts w:cs="Arial"/>
          <w:szCs w:val="22"/>
        </w:rPr>
        <w:t>p</w:t>
      </w:r>
      <w:r>
        <w:rPr>
          <w:rFonts w:cs="Arial"/>
          <w:szCs w:val="22"/>
        </w:rPr>
        <w:t xml:space="preserve">eoples from their lands and forced translocation to reservations; (v) </w:t>
      </w:r>
      <w:r w:rsidR="005F3CA3">
        <w:rPr>
          <w:rFonts w:cs="Arial"/>
          <w:szCs w:val="22"/>
        </w:rPr>
        <w:t>b</w:t>
      </w:r>
      <w:r>
        <w:rPr>
          <w:rFonts w:cs="Arial"/>
          <w:szCs w:val="22"/>
        </w:rPr>
        <w:t xml:space="preserve">oarding </w:t>
      </w:r>
      <w:r w:rsidR="005F3CA3">
        <w:rPr>
          <w:rFonts w:cs="Arial"/>
          <w:szCs w:val="22"/>
        </w:rPr>
        <w:t>s</w:t>
      </w:r>
      <w:r>
        <w:rPr>
          <w:rFonts w:cs="Arial"/>
          <w:szCs w:val="22"/>
        </w:rPr>
        <w:t xml:space="preserve">chool </w:t>
      </w:r>
      <w:r w:rsidR="005F3CA3">
        <w:rPr>
          <w:rFonts w:cs="Arial"/>
          <w:szCs w:val="22"/>
        </w:rPr>
        <w:t>–</w:t>
      </w:r>
      <w:r>
        <w:rPr>
          <w:rFonts w:cs="Arial"/>
          <w:szCs w:val="22"/>
        </w:rPr>
        <w:t xml:space="preserve"> the removal and institutionalisation of Native children, and destruction of family units to destroy culture, language and connections; and (vi) </w:t>
      </w:r>
      <w:r w:rsidR="005F3CA3">
        <w:rPr>
          <w:rFonts w:cs="Arial"/>
          <w:szCs w:val="22"/>
        </w:rPr>
        <w:t>f</w:t>
      </w:r>
      <w:r>
        <w:rPr>
          <w:rFonts w:cs="Arial"/>
          <w:szCs w:val="22"/>
        </w:rPr>
        <w:t xml:space="preserve">orced </w:t>
      </w:r>
      <w:r w:rsidR="005F3CA3">
        <w:rPr>
          <w:rFonts w:cs="Arial"/>
          <w:szCs w:val="22"/>
        </w:rPr>
        <w:t>r</w:t>
      </w:r>
      <w:r>
        <w:rPr>
          <w:rFonts w:cs="Arial"/>
          <w:szCs w:val="22"/>
        </w:rPr>
        <w:t xml:space="preserve">elocation and </w:t>
      </w:r>
      <w:r w:rsidR="005F3CA3">
        <w:rPr>
          <w:rFonts w:cs="Arial"/>
          <w:szCs w:val="22"/>
        </w:rPr>
        <w:t>t</w:t>
      </w:r>
      <w:r>
        <w:rPr>
          <w:rFonts w:cs="Arial"/>
          <w:szCs w:val="22"/>
        </w:rPr>
        <w:t xml:space="preserve">ermination, entailing further relocation to urban centres and “intensification of the impact of refugee and concentration camp syndromes” (pp.32-34). </w:t>
      </w:r>
    </w:p>
    <w:p w14:paraId="02977261" w14:textId="77777777" w:rsidR="00187209" w:rsidRDefault="00187209" w:rsidP="00187209">
      <w:pPr>
        <w:rPr>
          <w:rFonts w:cs="Arial"/>
          <w:szCs w:val="22"/>
        </w:rPr>
      </w:pPr>
      <w:r w:rsidRPr="007D2B43">
        <w:rPr>
          <w:rFonts w:cs="Arial"/>
          <w:szCs w:val="22"/>
        </w:rPr>
        <w:t xml:space="preserve">Evans-Campbell (2008) highlights the importance of differentiating between </w:t>
      </w:r>
      <w:r>
        <w:rPr>
          <w:rFonts w:cs="Arial"/>
          <w:szCs w:val="22"/>
        </w:rPr>
        <w:t>regular</w:t>
      </w:r>
      <w:r w:rsidRPr="007D2B43">
        <w:rPr>
          <w:rFonts w:cs="Arial"/>
          <w:szCs w:val="22"/>
        </w:rPr>
        <w:t xml:space="preserve"> life stressors and traumatic events. Regular life stressors are seen as those things that are an expected part of life; traumatic events are outside those expectations. Whil</w:t>
      </w:r>
      <w:r>
        <w:rPr>
          <w:rFonts w:cs="Arial"/>
          <w:szCs w:val="22"/>
        </w:rPr>
        <w:t>e</w:t>
      </w:r>
      <w:r w:rsidRPr="007D2B43">
        <w:rPr>
          <w:rFonts w:cs="Arial"/>
          <w:szCs w:val="22"/>
        </w:rPr>
        <w:t xml:space="preserve"> there is a wide variation of events that are associated with historical trauma, Evans-Campbell (2008) identifies three distinguishing features or characteristics</w:t>
      </w:r>
      <w:r>
        <w:rPr>
          <w:rFonts w:cs="Arial"/>
          <w:szCs w:val="22"/>
        </w:rPr>
        <w:t>, whereby the violence and trauma is collectively experienced and widespread within American Indian and Alaska Native (AIAN) communities; generates high collective distress and mourning within those communities; and is deliberately and intentionally destructive and perpetrated by outsiders.</w:t>
      </w:r>
    </w:p>
    <w:p w14:paraId="62E564BA" w14:textId="5B716AE4" w:rsidR="00187209" w:rsidRDefault="00187209" w:rsidP="00187209">
      <w:pPr>
        <w:rPr>
          <w:rFonts w:cs="Arial"/>
          <w:szCs w:val="22"/>
        </w:rPr>
      </w:pPr>
      <w:r w:rsidRPr="007D2B43">
        <w:rPr>
          <w:rFonts w:cs="Arial"/>
          <w:szCs w:val="22"/>
        </w:rPr>
        <w:t xml:space="preserve">Walters, Beltran, Huh, and Evans-Campbell (2011) note that the “devastating high rates of health disparities” for Native peoples are linked to historical trauma events such as the confiscation and dispossession of land and forced relocation. They argue that Native </w:t>
      </w:r>
      <w:r>
        <w:rPr>
          <w:rFonts w:cs="Arial"/>
          <w:szCs w:val="22"/>
        </w:rPr>
        <w:t>people</w:t>
      </w:r>
      <w:r w:rsidRPr="007D2B43">
        <w:rPr>
          <w:rFonts w:cs="Arial"/>
          <w:szCs w:val="22"/>
        </w:rPr>
        <w:t xml:space="preserve"> are </w:t>
      </w:r>
      <w:r>
        <w:rPr>
          <w:rFonts w:cs="Arial"/>
          <w:szCs w:val="22"/>
        </w:rPr>
        <w:t xml:space="preserve">now </w:t>
      </w:r>
      <w:r w:rsidRPr="007D2B43">
        <w:rPr>
          <w:rFonts w:cs="Arial"/>
          <w:szCs w:val="22"/>
        </w:rPr>
        <w:t>examin</w:t>
      </w:r>
      <w:r>
        <w:rPr>
          <w:rFonts w:cs="Arial"/>
          <w:szCs w:val="22"/>
        </w:rPr>
        <w:t>ing</w:t>
      </w:r>
      <w:r w:rsidRPr="007D2B43">
        <w:rPr>
          <w:rFonts w:cs="Arial"/>
          <w:szCs w:val="22"/>
        </w:rPr>
        <w:t xml:space="preserve"> the role of “place-based historically traumatic events (e.g. forced relocation and land loss), [and] environmental microaggressions (discrimination distress </w:t>
      </w:r>
      <w:r w:rsidR="00B11C30">
        <w:rPr>
          <w:rFonts w:cs="Arial"/>
          <w:szCs w:val="22"/>
        </w:rPr>
        <w:t>based on land desecration)” (p.</w:t>
      </w:r>
      <w:r w:rsidRPr="007D2B43">
        <w:rPr>
          <w:rFonts w:cs="Arial"/>
          <w:szCs w:val="22"/>
        </w:rPr>
        <w:t xml:space="preserve">166) and </w:t>
      </w:r>
      <w:r>
        <w:rPr>
          <w:rFonts w:cs="Arial"/>
          <w:szCs w:val="22"/>
        </w:rPr>
        <w:t>demonstrating</w:t>
      </w:r>
      <w:r w:rsidRPr="007D2B43">
        <w:rPr>
          <w:rFonts w:cs="Arial"/>
          <w:szCs w:val="22"/>
        </w:rPr>
        <w:t xml:space="preserve"> that such exposures are hazards to Native health and can persist for generations. The </w:t>
      </w:r>
      <w:r w:rsidRPr="007D2B43">
        <w:rPr>
          <w:rFonts w:cs="Arial"/>
          <w:szCs w:val="22"/>
        </w:rPr>
        <w:lastRenderedPageBreak/>
        <w:t xml:space="preserve">relationship </w:t>
      </w:r>
      <w:r>
        <w:rPr>
          <w:rFonts w:cs="Arial"/>
          <w:szCs w:val="22"/>
        </w:rPr>
        <w:t>between</w:t>
      </w:r>
      <w:r w:rsidRPr="007D2B43">
        <w:rPr>
          <w:rFonts w:cs="Arial"/>
          <w:szCs w:val="22"/>
        </w:rPr>
        <w:t xml:space="preserve"> land/place and wellbeing is articulated as </w:t>
      </w:r>
      <w:r>
        <w:rPr>
          <w:rFonts w:cs="Arial"/>
          <w:szCs w:val="22"/>
        </w:rPr>
        <w:t xml:space="preserve">being central to both individual and collective wellness and that displacement is directly related to loss of spirit and hence identity. </w:t>
      </w:r>
    </w:p>
    <w:p w14:paraId="214A0AF0" w14:textId="43A6359B" w:rsidR="00187209" w:rsidRDefault="00187209" w:rsidP="00187209">
      <w:pPr>
        <w:rPr>
          <w:rFonts w:cs="Arial"/>
          <w:szCs w:val="22"/>
        </w:rPr>
      </w:pPr>
      <w:r>
        <w:rPr>
          <w:rFonts w:cs="Arial"/>
          <w:szCs w:val="22"/>
        </w:rPr>
        <w:t>In Aotearoa, colonisation is both an overarching historical trauma event for Māori collectively that impacts upon present and future generations and an ongoing system that continues to reproduce oppression. In order to understand historical trauma for Māori, we must understand the origins of colonial trauma in Aotearoa as embedded within colonisation, b</w:t>
      </w:r>
      <w:r w:rsidR="00930F15">
        <w:rPr>
          <w:rFonts w:cs="Arial"/>
          <w:szCs w:val="22"/>
        </w:rPr>
        <w:t xml:space="preserve">oth as event and as structure. </w:t>
      </w:r>
      <w:r>
        <w:rPr>
          <w:rFonts w:cs="Arial"/>
          <w:szCs w:val="22"/>
        </w:rPr>
        <w:t xml:space="preserve">This means coming to know the history of the many whānau, hapū and iwi and the violence perpetrated through colonial invasion and occupation. For example, the historical invasions of Rangiaowhia in Waikato, Parihaka in Taranaki, Gate Pā in Tauranga and many more, and in contemporary times events such as the eviction of Ngāti Whaatua from Bastion Point in 1978, the Foreshore and Seabed Act confiscation of the foreshore in 2005, and the freeholding of Waitara lands in 2019. Alongside these events is the ongoing failure of the government to honour Te Tiriti o Waitangi, the embedded systemic racism in Ministries and agencies, the continuing expression of deficit views and racist assumptions about Māori, and the denial of Māori status as tangata whenua, the people of the land.  </w:t>
      </w:r>
    </w:p>
    <w:p w14:paraId="77D044B6" w14:textId="0863C75D" w:rsidR="00187209" w:rsidRPr="007D2B43" w:rsidRDefault="00187209" w:rsidP="0021755C">
      <w:pPr>
        <w:rPr>
          <w:rFonts w:cs="Arial"/>
          <w:szCs w:val="22"/>
        </w:rPr>
      </w:pPr>
      <w:r>
        <w:rPr>
          <w:rFonts w:cs="Arial"/>
          <w:szCs w:val="22"/>
        </w:rPr>
        <w:t xml:space="preserve">What this highlights is that </w:t>
      </w:r>
      <w:r w:rsidRPr="007D2B43">
        <w:rPr>
          <w:rFonts w:cs="Arial"/>
          <w:szCs w:val="22"/>
        </w:rPr>
        <w:t xml:space="preserve">there </w:t>
      </w:r>
      <w:r>
        <w:rPr>
          <w:rFonts w:cs="Arial"/>
          <w:szCs w:val="22"/>
        </w:rPr>
        <w:t>are</w:t>
      </w:r>
      <w:r w:rsidRPr="007D2B43">
        <w:rPr>
          <w:rFonts w:cs="Arial"/>
          <w:szCs w:val="22"/>
        </w:rPr>
        <w:t xml:space="preserve"> a range of historical events </w:t>
      </w:r>
      <w:r>
        <w:rPr>
          <w:rFonts w:cs="Arial"/>
          <w:szCs w:val="22"/>
        </w:rPr>
        <w:t xml:space="preserve"> and systemic issues </w:t>
      </w:r>
      <w:r w:rsidRPr="007D2B43">
        <w:rPr>
          <w:rFonts w:cs="Arial"/>
          <w:szCs w:val="22"/>
        </w:rPr>
        <w:t xml:space="preserve">that contribute to </w:t>
      </w:r>
      <w:r>
        <w:rPr>
          <w:rFonts w:cs="Arial"/>
          <w:szCs w:val="22"/>
        </w:rPr>
        <w:t>experiences</w:t>
      </w:r>
      <w:r w:rsidRPr="007D2B43">
        <w:rPr>
          <w:rFonts w:cs="Arial"/>
          <w:szCs w:val="22"/>
        </w:rPr>
        <w:t xml:space="preserve"> of historical trauma</w:t>
      </w:r>
      <w:r>
        <w:rPr>
          <w:rFonts w:cs="Arial"/>
          <w:szCs w:val="22"/>
        </w:rPr>
        <w:t>,</w:t>
      </w:r>
      <w:r w:rsidRPr="007D2B43">
        <w:rPr>
          <w:rFonts w:cs="Arial"/>
          <w:szCs w:val="22"/>
        </w:rPr>
        <w:t xml:space="preserve"> which </w:t>
      </w:r>
      <w:r>
        <w:rPr>
          <w:rFonts w:cs="Arial"/>
          <w:szCs w:val="22"/>
        </w:rPr>
        <w:t>have</w:t>
      </w:r>
      <w:r w:rsidRPr="007D2B43">
        <w:rPr>
          <w:rFonts w:cs="Arial"/>
          <w:szCs w:val="22"/>
        </w:rPr>
        <w:t xml:space="preserve"> complex </w:t>
      </w:r>
      <w:r>
        <w:rPr>
          <w:rFonts w:cs="Arial"/>
          <w:szCs w:val="22"/>
        </w:rPr>
        <w:t>impacts on</w:t>
      </w:r>
      <w:r w:rsidRPr="007D2B43">
        <w:rPr>
          <w:rFonts w:cs="Arial"/>
          <w:szCs w:val="22"/>
        </w:rPr>
        <w:t xml:space="preserve"> the cultural, spiritual, emotional and physical wellbeing of Indigenous peoples</w:t>
      </w:r>
      <w:r>
        <w:rPr>
          <w:rFonts w:cs="Arial"/>
          <w:szCs w:val="22"/>
        </w:rPr>
        <w:t>,</w:t>
      </w:r>
      <w:r w:rsidRPr="007D2B43">
        <w:rPr>
          <w:rFonts w:cs="Arial"/>
          <w:szCs w:val="22"/>
        </w:rPr>
        <w:t xml:space="preserve"> culminat</w:t>
      </w:r>
      <w:r>
        <w:rPr>
          <w:rFonts w:cs="Arial"/>
          <w:szCs w:val="22"/>
        </w:rPr>
        <w:t>ing</w:t>
      </w:r>
      <w:r w:rsidRPr="007D2B43">
        <w:rPr>
          <w:rFonts w:cs="Arial"/>
          <w:szCs w:val="22"/>
        </w:rPr>
        <w:t xml:space="preserve"> in historical trauma responses, which are discussed in the next section. </w:t>
      </w:r>
    </w:p>
    <w:p w14:paraId="0BE8F00F" w14:textId="77777777" w:rsidR="00187209" w:rsidRPr="007D2B43" w:rsidRDefault="00187209" w:rsidP="00B11C30">
      <w:pPr>
        <w:pStyle w:val="Heading2"/>
      </w:pPr>
      <w:r w:rsidRPr="007D2B43">
        <w:t xml:space="preserve">Historical trauma response </w:t>
      </w:r>
    </w:p>
    <w:p w14:paraId="024E1F55" w14:textId="77777777" w:rsidR="00187209" w:rsidRPr="007D2B43" w:rsidRDefault="00187209" w:rsidP="00187209">
      <w:pPr>
        <w:spacing w:before="100" w:beforeAutospacing="1" w:after="100" w:afterAutospacing="1"/>
        <w:rPr>
          <w:rFonts w:eastAsia="Times New Roman" w:cs="Arial"/>
          <w:szCs w:val="22"/>
        </w:rPr>
      </w:pPr>
      <w:r w:rsidRPr="007D2B43">
        <w:rPr>
          <w:rFonts w:eastAsia="Times New Roman" w:cs="Arial"/>
          <w:szCs w:val="22"/>
        </w:rPr>
        <w:t xml:space="preserve">The work of Maria Yellow Horse Brave Heart provides a model for understanding the potential impact of the collective historical traumatic experiences of </w:t>
      </w:r>
      <w:r>
        <w:rPr>
          <w:rFonts w:eastAsia="Times New Roman" w:cs="Arial"/>
          <w:szCs w:val="22"/>
        </w:rPr>
        <w:t>Indigenous</w:t>
      </w:r>
      <w:r w:rsidRPr="007D2B43">
        <w:rPr>
          <w:rFonts w:eastAsia="Times New Roman" w:cs="Arial"/>
          <w:szCs w:val="22"/>
        </w:rPr>
        <w:t xml:space="preserve"> nations alongside contemporary or present</w:t>
      </w:r>
      <w:r>
        <w:rPr>
          <w:rFonts w:eastAsia="Times New Roman" w:cs="Arial"/>
          <w:szCs w:val="22"/>
        </w:rPr>
        <w:t>-</w:t>
      </w:r>
      <w:r w:rsidRPr="007D2B43">
        <w:rPr>
          <w:rFonts w:eastAsia="Times New Roman" w:cs="Arial"/>
          <w:szCs w:val="22"/>
        </w:rPr>
        <w:t>day traumatic life experiences. What is clear is the need for Indigenous worldviews to define the ways in which such features are both defined and engaged. Brave Heart (2000) highlights that historical trauma responses</w:t>
      </w:r>
      <w:r>
        <w:rPr>
          <w:rFonts w:eastAsia="Times New Roman" w:cs="Arial"/>
          <w:szCs w:val="22"/>
        </w:rPr>
        <w:t xml:space="preserve"> </w:t>
      </w:r>
      <w:r w:rsidRPr="007D2B43">
        <w:rPr>
          <w:rFonts w:eastAsia="Times New Roman" w:cs="Arial"/>
          <w:szCs w:val="22"/>
        </w:rPr>
        <w:t xml:space="preserve">must be viewed through </w:t>
      </w:r>
      <w:r>
        <w:rPr>
          <w:rFonts w:eastAsia="Times New Roman" w:cs="Arial"/>
          <w:szCs w:val="22"/>
        </w:rPr>
        <w:t xml:space="preserve">Indigenous </w:t>
      </w:r>
      <w:r w:rsidRPr="007D2B43">
        <w:rPr>
          <w:rFonts w:eastAsia="Times New Roman" w:cs="Arial"/>
          <w:szCs w:val="22"/>
        </w:rPr>
        <w:t xml:space="preserve">cultural </w:t>
      </w:r>
      <w:r>
        <w:rPr>
          <w:rFonts w:eastAsia="Times New Roman" w:cs="Arial"/>
          <w:szCs w:val="22"/>
        </w:rPr>
        <w:t>understandings. Pihama et al. (2014) raise the point that historical trauma for Māori is deeply embedded in colonisation as an ongoing process that continues to affect Māori. Responses are then amplified by the impact of systemic issues and institutional racism.</w:t>
      </w:r>
    </w:p>
    <w:p w14:paraId="0A691E12" w14:textId="01001E5D" w:rsidR="0011449F" w:rsidRPr="00571E6A" w:rsidRDefault="00187209" w:rsidP="0011449F">
      <w:pPr>
        <w:spacing w:before="100" w:beforeAutospacing="1" w:after="100" w:afterAutospacing="1"/>
        <w:rPr>
          <w:rFonts w:eastAsia="Times New Roman" w:cs="Arial"/>
          <w:szCs w:val="22"/>
        </w:rPr>
      </w:pPr>
      <w:r>
        <w:rPr>
          <w:rFonts w:eastAsia="Times New Roman" w:cs="Arial"/>
          <w:szCs w:val="22"/>
        </w:rPr>
        <w:t>The l</w:t>
      </w:r>
      <w:r w:rsidRPr="007D2B43">
        <w:rPr>
          <w:rFonts w:eastAsia="Times New Roman" w:cs="Arial"/>
          <w:szCs w:val="22"/>
        </w:rPr>
        <w:t xml:space="preserve">iterature </w:t>
      </w:r>
      <w:r>
        <w:rPr>
          <w:rFonts w:eastAsia="Times New Roman" w:cs="Arial"/>
          <w:szCs w:val="22"/>
        </w:rPr>
        <w:t>shows</w:t>
      </w:r>
      <w:r w:rsidRPr="007D2B43">
        <w:rPr>
          <w:rFonts w:eastAsia="Times New Roman" w:cs="Arial"/>
          <w:szCs w:val="22"/>
        </w:rPr>
        <w:t xml:space="preserve"> that among holocaust survivors and their descendants, and </w:t>
      </w:r>
      <w:r>
        <w:rPr>
          <w:rFonts w:eastAsia="Times New Roman" w:cs="Arial"/>
          <w:szCs w:val="22"/>
        </w:rPr>
        <w:t>in</w:t>
      </w:r>
      <w:r w:rsidRPr="007D2B43">
        <w:rPr>
          <w:rFonts w:eastAsia="Times New Roman" w:cs="Arial"/>
          <w:szCs w:val="22"/>
        </w:rPr>
        <w:t xml:space="preserve"> Lakota people, the range of historical trauma responses observed include depression</w:t>
      </w:r>
      <w:r>
        <w:rPr>
          <w:rFonts w:eastAsia="Times New Roman" w:cs="Arial"/>
          <w:szCs w:val="22"/>
        </w:rPr>
        <w:t>;</w:t>
      </w:r>
      <w:r w:rsidRPr="007D2B43">
        <w:rPr>
          <w:rFonts w:eastAsia="Times New Roman" w:cs="Arial"/>
          <w:szCs w:val="22"/>
        </w:rPr>
        <w:t xml:space="preserve"> psychic numbing</w:t>
      </w:r>
      <w:r>
        <w:rPr>
          <w:rFonts w:eastAsia="Times New Roman" w:cs="Arial"/>
          <w:szCs w:val="22"/>
        </w:rPr>
        <w:t>;</w:t>
      </w:r>
      <w:r w:rsidR="005F3CA3">
        <w:rPr>
          <w:rFonts w:eastAsia="Times New Roman" w:cs="Arial"/>
          <w:szCs w:val="22"/>
        </w:rPr>
        <w:t xml:space="preserve"> difficulty recognis</w:t>
      </w:r>
      <w:r w:rsidRPr="007D2B43">
        <w:rPr>
          <w:rFonts w:eastAsia="Times New Roman" w:cs="Arial"/>
          <w:szCs w:val="22"/>
        </w:rPr>
        <w:t>ing and expressing emotions</w:t>
      </w:r>
      <w:r>
        <w:rPr>
          <w:rFonts w:eastAsia="Times New Roman" w:cs="Arial"/>
          <w:szCs w:val="22"/>
        </w:rPr>
        <w:t>;</w:t>
      </w:r>
      <w:r w:rsidRPr="007D2B43">
        <w:rPr>
          <w:rFonts w:eastAsia="Times New Roman" w:cs="Arial"/>
          <w:szCs w:val="22"/>
        </w:rPr>
        <w:t xml:space="preserve"> low self-esteem</w:t>
      </w:r>
      <w:r>
        <w:rPr>
          <w:rFonts w:eastAsia="Times New Roman" w:cs="Arial"/>
          <w:szCs w:val="22"/>
        </w:rPr>
        <w:t>;</w:t>
      </w:r>
      <w:r w:rsidRPr="007D2B43">
        <w:rPr>
          <w:rFonts w:eastAsia="Times New Roman" w:cs="Arial"/>
          <w:szCs w:val="22"/>
        </w:rPr>
        <w:t xml:space="preserve"> poor affect tolerance</w:t>
      </w:r>
      <w:r>
        <w:rPr>
          <w:rFonts w:eastAsia="Times New Roman" w:cs="Arial"/>
          <w:szCs w:val="22"/>
        </w:rPr>
        <w:t>;</w:t>
      </w:r>
      <w:r w:rsidRPr="007D2B43">
        <w:rPr>
          <w:rFonts w:eastAsia="Times New Roman" w:cs="Arial"/>
          <w:szCs w:val="22"/>
        </w:rPr>
        <w:t xml:space="preserve"> anger</w:t>
      </w:r>
      <w:r>
        <w:rPr>
          <w:rFonts w:eastAsia="Times New Roman" w:cs="Arial"/>
          <w:szCs w:val="22"/>
        </w:rPr>
        <w:t>;</w:t>
      </w:r>
      <w:r w:rsidRPr="007D2B43">
        <w:rPr>
          <w:rFonts w:eastAsia="Times New Roman" w:cs="Arial"/>
          <w:szCs w:val="22"/>
        </w:rPr>
        <w:t xml:space="preserve"> elevated mortality rates from suicide and cardiovascular diseases</w:t>
      </w:r>
      <w:r>
        <w:rPr>
          <w:rFonts w:eastAsia="Times New Roman" w:cs="Arial"/>
          <w:szCs w:val="22"/>
        </w:rPr>
        <w:t>;</w:t>
      </w:r>
      <w:r w:rsidRPr="007D2B43">
        <w:rPr>
          <w:rFonts w:eastAsia="Times New Roman" w:cs="Arial"/>
          <w:szCs w:val="22"/>
        </w:rPr>
        <w:t xml:space="preserve"> self-destructive behaviour</w:t>
      </w:r>
      <w:r>
        <w:rPr>
          <w:rFonts w:eastAsia="Times New Roman" w:cs="Arial"/>
          <w:szCs w:val="22"/>
        </w:rPr>
        <w:t>;</w:t>
      </w:r>
      <w:r w:rsidRPr="007D2B43">
        <w:rPr>
          <w:rFonts w:eastAsia="Times New Roman" w:cs="Arial"/>
          <w:szCs w:val="22"/>
        </w:rPr>
        <w:t xml:space="preserve"> and may include substance abuse and self-medication (Brave Heart, 1999; Brave Heart &amp; DeBruyn, 1998). It is argued that the generation</w:t>
      </w:r>
      <w:r>
        <w:rPr>
          <w:rFonts w:eastAsia="Times New Roman" w:cs="Arial"/>
          <w:szCs w:val="22"/>
        </w:rPr>
        <w:t>s</w:t>
      </w:r>
      <w:r w:rsidRPr="007D2B43">
        <w:rPr>
          <w:rFonts w:eastAsia="Times New Roman" w:cs="Arial"/>
          <w:szCs w:val="22"/>
        </w:rPr>
        <w:t xml:space="preserve"> of Native American people who face collective historical trauma experienc</w:t>
      </w:r>
      <w:r>
        <w:rPr>
          <w:rFonts w:eastAsia="Times New Roman" w:cs="Arial"/>
          <w:szCs w:val="22"/>
        </w:rPr>
        <w:t>e</w:t>
      </w:r>
      <w:r w:rsidRPr="007D2B43">
        <w:rPr>
          <w:rFonts w:eastAsia="Times New Roman" w:cs="Arial"/>
          <w:szCs w:val="22"/>
        </w:rPr>
        <w:t xml:space="preserve"> </w:t>
      </w:r>
      <w:r>
        <w:rPr>
          <w:rFonts w:eastAsia="Times New Roman" w:cs="Arial"/>
          <w:szCs w:val="22"/>
        </w:rPr>
        <w:t>both its present</w:t>
      </w:r>
      <w:r w:rsidRPr="007D2B43">
        <w:rPr>
          <w:rFonts w:eastAsia="Times New Roman" w:cs="Arial"/>
          <w:szCs w:val="22"/>
        </w:rPr>
        <w:t xml:space="preserve"> impact and “historical unresolved grief</w:t>
      </w:r>
      <w:r w:rsidR="007A497D">
        <w:rPr>
          <w:rFonts w:eastAsia="Times New Roman" w:cs="Arial"/>
          <w:szCs w:val="22"/>
        </w:rPr>
        <w:t>,</w:t>
      </w:r>
      <w:r w:rsidRPr="007D2B43">
        <w:rPr>
          <w:rFonts w:eastAsia="Times New Roman" w:cs="Arial"/>
          <w:szCs w:val="22"/>
        </w:rPr>
        <w:t>” where those generations experience a “pervasive sense of pain” and an “incomplete mourning of those events</w:t>
      </w:r>
      <w:r w:rsidR="005F3CA3">
        <w:rPr>
          <w:rFonts w:eastAsia="Times New Roman" w:cs="Arial"/>
          <w:szCs w:val="22"/>
        </w:rPr>
        <w:t>.</w:t>
      </w:r>
      <w:r w:rsidRPr="007D2B43">
        <w:rPr>
          <w:rFonts w:eastAsia="Times New Roman" w:cs="Arial"/>
          <w:szCs w:val="22"/>
        </w:rPr>
        <w:t xml:space="preserve">” This becomes </w:t>
      </w:r>
      <w:r w:rsidRPr="007D2B43">
        <w:rPr>
          <w:rFonts w:eastAsia="Times New Roman" w:cs="Arial"/>
          <w:szCs w:val="22"/>
        </w:rPr>
        <w:lastRenderedPageBreak/>
        <w:t xml:space="preserve">more complex with the oppressive </w:t>
      </w:r>
      <w:r>
        <w:rPr>
          <w:rFonts w:eastAsia="Times New Roman" w:cs="Arial"/>
          <w:szCs w:val="22"/>
        </w:rPr>
        <w:t>environment in</w:t>
      </w:r>
      <w:r w:rsidRPr="007D2B43">
        <w:rPr>
          <w:rFonts w:eastAsia="Times New Roman" w:cs="Arial"/>
          <w:szCs w:val="22"/>
        </w:rPr>
        <w:t xml:space="preserve"> which present generations of Native peoples are located</w:t>
      </w:r>
      <w:r>
        <w:rPr>
          <w:rFonts w:eastAsia="Times New Roman" w:cs="Arial"/>
          <w:szCs w:val="22"/>
        </w:rPr>
        <w:t xml:space="preserve">. This includes the ongoing violence </w:t>
      </w:r>
      <w:r w:rsidRPr="007D2B43">
        <w:rPr>
          <w:rFonts w:eastAsia="Times New Roman" w:cs="Arial"/>
          <w:szCs w:val="22"/>
        </w:rPr>
        <w:t>perpetrated upon communities and their members (</w:t>
      </w:r>
      <w:r w:rsidR="00930F15">
        <w:rPr>
          <w:rFonts w:eastAsia="Times New Roman" w:cs="Arial"/>
          <w:szCs w:val="22"/>
        </w:rPr>
        <w:t>Brave Heart &amp; DeBruyn, 1998, p.</w:t>
      </w:r>
      <w:r w:rsidRPr="007D2B43">
        <w:rPr>
          <w:rFonts w:eastAsia="Times New Roman" w:cs="Arial"/>
          <w:szCs w:val="22"/>
        </w:rPr>
        <w:t>70)</w:t>
      </w:r>
      <w:r>
        <w:rPr>
          <w:rFonts w:eastAsia="Times New Roman" w:cs="Arial"/>
          <w:szCs w:val="22"/>
        </w:rPr>
        <w:t xml:space="preserve">. It is noted that the ongoing acts of violence upon Māori are associated </w:t>
      </w:r>
      <w:r w:rsidR="0011449F">
        <w:rPr>
          <w:rFonts w:eastAsia="Times New Roman" w:cs="Arial"/>
          <w:noProof/>
          <w:szCs w:val="22"/>
          <w:lang w:eastAsia="en-NZ"/>
        </w:rPr>
        <mc:AlternateContent>
          <mc:Choice Requires="wps">
            <w:drawing>
              <wp:anchor distT="0" distB="0" distL="114300" distR="114300" simplePos="0" relativeHeight="251660288" behindDoc="0" locked="0" layoutInCell="1" allowOverlap="1" wp14:anchorId="46F6B17C" wp14:editId="3688FFB7">
                <wp:simplePos x="0" y="0"/>
                <wp:positionH relativeFrom="margin">
                  <wp:align>right</wp:align>
                </wp:positionH>
                <wp:positionV relativeFrom="paragraph">
                  <wp:posOffset>0</wp:posOffset>
                </wp:positionV>
                <wp:extent cx="2078355" cy="2665095"/>
                <wp:effectExtent l="0" t="0" r="0" b="1905"/>
                <wp:wrapSquare wrapText="bothSides"/>
                <wp:docPr id="11" name="Rectangle 11"/>
                <wp:cNvGraphicFramePr/>
                <a:graphic xmlns:a="http://schemas.openxmlformats.org/drawingml/2006/main">
                  <a:graphicData uri="http://schemas.microsoft.com/office/word/2010/wordprocessingShape">
                    <wps:wsp>
                      <wps:cNvSpPr/>
                      <wps:spPr>
                        <a:xfrm>
                          <a:off x="0" y="0"/>
                          <a:ext cx="2078355" cy="26650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5FA4F" w14:textId="452F7D43" w:rsidR="004B02AC" w:rsidRPr="004B02AC" w:rsidRDefault="004B02AC" w:rsidP="0011449F">
                            <w:pPr>
                              <w:spacing w:after="0"/>
                              <w:rPr>
                                <w:i/>
                                <w:color w:val="FFFFFF" w:themeColor="background1"/>
                              </w:rPr>
                            </w:pPr>
                            <w:r w:rsidRPr="004B02AC">
                              <w:rPr>
                                <w:rFonts w:eastAsia="Times New Roman" w:cs="Arial"/>
                                <w:i/>
                                <w:szCs w:val="22"/>
                              </w:rPr>
                              <w:t>What historical trauma tells us is that in order to create pathways for collective healing we must acknowledge and deal with the many levels of trauma responses that influence whānau, affected past generations, and will have impacts on future generations unless they are addressed</w:t>
                            </w:r>
                            <w:r w:rsidR="0011449F">
                              <w:rPr>
                                <w:rFonts w:eastAsia="Times New Roman" w:cs="Arial"/>
                                <w:i/>
                                <w:szCs w:val="22"/>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F6B17C" id="Rectangle 11" o:spid="_x0000_s1028" style="position:absolute;margin-left:112.45pt;margin-top:0;width:163.65pt;height:209.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" fillcolor="#5b9bd5 [3204]" stroked="f" strokeweight="1pt">
                <v:textbox inset=",14.4pt,8.64pt,18pt">
                  <w:txbxContent>
                    <w:p w14:paraId="6A75FA4F" w14:textId="452F7D43" w:rsidR="004B02AC" w:rsidRPr="004B02AC" w:rsidRDefault="004B02AC" w:rsidP="0011449F">
                      <w:pPr>
                        <w:spacing w:after="0"/>
                        <w:rPr>
                          <w:i/>
                          <w:color w:val="FFFFFF" w:themeColor="background1"/>
                        </w:rPr>
                      </w:pPr>
                      <w:r w:rsidRPr="004B02AC">
                        <w:rPr>
                          <w:rFonts w:eastAsia="Times New Roman" w:cs="Arial"/>
                          <w:i/>
                          <w:szCs w:val="22"/>
                        </w:rPr>
                        <w:t xml:space="preserve">What historical trauma tells us is that in order to create pathways for collective healing we must acknowledge and deal with the many levels of trauma responses that influence </w:t>
                      </w:r>
                      <w:proofErr w:type="spellStart"/>
                      <w:r w:rsidRPr="004B02AC">
                        <w:rPr>
                          <w:rFonts w:eastAsia="Times New Roman" w:cs="Arial"/>
                          <w:i/>
                          <w:szCs w:val="22"/>
                        </w:rPr>
                        <w:t>whānau</w:t>
                      </w:r>
                      <w:proofErr w:type="spellEnd"/>
                      <w:r w:rsidRPr="004B02AC">
                        <w:rPr>
                          <w:rFonts w:eastAsia="Times New Roman" w:cs="Arial"/>
                          <w:i/>
                          <w:szCs w:val="22"/>
                        </w:rPr>
                        <w:t>, affected past generations, and will have impacts on future generations unless they are addressed</w:t>
                      </w:r>
                      <w:r w:rsidR="0011449F">
                        <w:rPr>
                          <w:rFonts w:eastAsia="Times New Roman" w:cs="Arial"/>
                          <w:i/>
                          <w:szCs w:val="22"/>
                        </w:rPr>
                        <w:t>.</w:t>
                      </w:r>
                    </w:p>
                  </w:txbxContent>
                </v:textbox>
                <w10:wrap type="square" anchorx="margin"/>
              </v:rect>
            </w:pict>
          </mc:Fallback>
        </mc:AlternateContent>
      </w:r>
      <w:r>
        <w:rPr>
          <w:rFonts w:eastAsia="Times New Roman" w:cs="Arial"/>
          <w:szCs w:val="22"/>
        </w:rPr>
        <w:t>with colonial State violence of systemic racism; disparities in access to education and health care; denial and marginalisation of te reo, tikanga and mātauranga Māori;</w:t>
      </w:r>
      <w:r w:rsidRPr="007D2B43">
        <w:rPr>
          <w:rFonts w:eastAsia="Times New Roman" w:cs="Arial"/>
          <w:szCs w:val="22"/>
        </w:rPr>
        <w:t xml:space="preserve"> high rates of </w:t>
      </w:r>
      <w:r>
        <w:rPr>
          <w:rFonts w:eastAsia="Times New Roman" w:cs="Arial"/>
          <w:szCs w:val="22"/>
        </w:rPr>
        <w:t xml:space="preserve">incarceration; and increasing removal of Māori children from their whānau. </w:t>
      </w:r>
      <w:r w:rsidRPr="007D2B43">
        <w:rPr>
          <w:rFonts w:eastAsia="Times New Roman" w:cs="Arial"/>
          <w:szCs w:val="22"/>
        </w:rPr>
        <w:t>Re</w:t>
      </w:r>
      <w:r>
        <w:rPr>
          <w:rFonts w:eastAsia="Times New Roman" w:cs="Arial"/>
          <w:szCs w:val="22"/>
        </w:rPr>
        <w:t>actions</w:t>
      </w:r>
      <w:r w:rsidRPr="007D2B43">
        <w:rPr>
          <w:rFonts w:eastAsia="Times New Roman" w:cs="Arial"/>
          <w:szCs w:val="22"/>
        </w:rPr>
        <w:t xml:space="preserve"> to the legacy of historical trauma</w:t>
      </w:r>
      <w:r>
        <w:rPr>
          <w:rFonts w:eastAsia="Times New Roman" w:cs="Arial"/>
          <w:szCs w:val="22"/>
        </w:rPr>
        <w:t xml:space="preserve"> and daily acts of oppre</w:t>
      </w:r>
      <w:r w:rsidR="005F3CA3">
        <w:rPr>
          <w:rFonts w:eastAsia="Times New Roman" w:cs="Arial"/>
          <w:szCs w:val="22"/>
        </w:rPr>
        <w:t>ssion for Māori and Indigenous p</w:t>
      </w:r>
      <w:r>
        <w:rPr>
          <w:rFonts w:eastAsia="Times New Roman" w:cs="Arial"/>
          <w:szCs w:val="22"/>
        </w:rPr>
        <w:t>eoples</w:t>
      </w:r>
      <w:r w:rsidRPr="007D2B43">
        <w:rPr>
          <w:rFonts w:eastAsia="Times New Roman" w:cs="Arial"/>
          <w:szCs w:val="22"/>
        </w:rPr>
        <w:t xml:space="preserve"> manifest in multiple ways that culminate in both personal and interpersonal </w:t>
      </w:r>
      <w:r>
        <w:rPr>
          <w:rFonts w:eastAsia="Times New Roman" w:cs="Arial"/>
          <w:szCs w:val="22"/>
        </w:rPr>
        <w:t xml:space="preserve">trauma </w:t>
      </w:r>
      <w:r w:rsidRPr="007D2B43">
        <w:rPr>
          <w:rFonts w:eastAsia="Times New Roman" w:cs="Arial"/>
          <w:szCs w:val="22"/>
        </w:rPr>
        <w:t>responses</w:t>
      </w:r>
      <w:r>
        <w:rPr>
          <w:rFonts w:eastAsia="Times New Roman" w:cs="Arial"/>
          <w:szCs w:val="22"/>
        </w:rPr>
        <w:t>, both individual and collective.</w:t>
      </w:r>
      <w:r w:rsidR="005F3CA3">
        <w:rPr>
          <w:rFonts w:eastAsia="Times New Roman" w:cs="Arial"/>
          <w:szCs w:val="22"/>
        </w:rPr>
        <w:t xml:space="preserve"> </w:t>
      </w:r>
      <w:r w:rsidR="0011449F">
        <w:rPr>
          <w:rFonts w:eastAsia="Times New Roman" w:cs="Arial"/>
          <w:szCs w:val="22"/>
        </w:rPr>
        <w:t xml:space="preserve">What historical trauma tells us is that in order to create pathways for collective healing we must acknowledge and deal with the </w:t>
      </w:r>
      <w:r w:rsidR="0011449F" w:rsidRPr="007D2B43">
        <w:rPr>
          <w:rFonts w:eastAsia="Times New Roman" w:cs="Arial"/>
          <w:szCs w:val="22"/>
        </w:rPr>
        <w:t xml:space="preserve">many levels of trauma responses that </w:t>
      </w:r>
      <w:r w:rsidR="0011449F">
        <w:rPr>
          <w:rFonts w:eastAsia="Times New Roman" w:cs="Arial"/>
          <w:szCs w:val="22"/>
        </w:rPr>
        <w:t>influence</w:t>
      </w:r>
      <w:r w:rsidR="0011449F" w:rsidRPr="007D2B43">
        <w:rPr>
          <w:rFonts w:eastAsia="Times New Roman" w:cs="Arial"/>
          <w:szCs w:val="22"/>
        </w:rPr>
        <w:t xml:space="preserve"> </w:t>
      </w:r>
      <w:r w:rsidR="0011449F">
        <w:rPr>
          <w:rFonts w:eastAsia="Times New Roman" w:cs="Arial"/>
          <w:szCs w:val="22"/>
        </w:rPr>
        <w:t>whānau</w:t>
      </w:r>
      <w:r w:rsidR="0011449F" w:rsidRPr="007D2B43">
        <w:rPr>
          <w:rFonts w:eastAsia="Times New Roman" w:cs="Arial"/>
          <w:szCs w:val="22"/>
        </w:rPr>
        <w:t xml:space="preserve">, </w:t>
      </w:r>
      <w:r w:rsidR="0011449F">
        <w:rPr>
          <w:rFonts w:eastAsia="Times New Roman" w:cs="Arial"/>
          <w:szCs w:val="22"/>
        </w:rPr>
        <w:t>affected</w:t>
      </w:r>
      <w:r w:rsidR="0011449F" w:rsidRPr="007D2B43">
        <w:rPr>
          <w:rFonts w:eastAsia="Times New Roman" w:cs="Arial"/>
          <w:szCs w:val="22"/>
        </w:rPr>
        <w:t xml:space="preserve"> past generations</w:t>
      </w:r>
      <w:r w:rsidR="0011449F">
        <w:rPr>
          <w:rFonts w:eastAsia="Times New Roman" w:cs="Arial"/>
          <w:szCs w:val="22"/>
        </w:rPr>
        <w:t>, and will have impacts on future generations unless they are addressed</w:t>
      </w:r>
      <w:r w:rsidR="0011449F" w:rsidRPr="007D2B43">
        <w:rPr>
          <w:rFonts w:eastAsia="Times New Roman" w:cs="Arial"/>
          <w:szCs w:val="22"/>
        </w:rPr>
        <w:t xml:space="preserve">. </w:t>
      </w:r>
    </w:p>
    <w:p w14:paraId="57961735" w14:textId="366FFB15" w:rsidR="00187209" w:rsidRPr="007D2B43" w:rsidRDefault="00187209" w:rsidP="00187209">
      <w:pPr>
        <w:spacing w:before="100" w:beforeAutospacing="1" w:after="100" w:afterAutospacing="1"/>
        <w:rPr>
          <w:rFonts w:eastAsia="Times New Roman" w:cs="Arial"/>
          <w:szCs w:val="22"/>
        </w:rPr>
      </w:pPr>
      <w:r>
        <w:rPr>
          <w:rFonts w:eastAsia="Times New Roman" w:cs="Arial"/>
          <w:szCs w:val="22"/>
        </w:rPr>
        <w:t>C</w:t>
      </w:r>
      <w:r w:rsidRPr="007D2B43">
        <w:rPr>
          <w:rFonts w:eastAsia="Times New Roman" w:cs="Arial"/>
          <w:szCs w:val="22"/>
        </w:rPr>
        <w:t xml:space="preserve">olonial oppression and historical trauma events create a “destabilization process” </w:t>
      </w:r>
      <w:r>
        <w:rPr>
          <w:rFonts w:eastAsia="Times New Roman" w:cs="Arial"/>
          <w:szCs w:val="22"/>
        </w:rPr>
        <w:t>in</w:t>
      </w:r>
      <w:r w:rsidRPr="007D2B43">
        <w:rPr>
          <w:rFonts w:eastAsia="Times New Roman" w:cs="Arial"/>
          <w:szCs w:val="22"/>
        </w:rPr>
        <w:t xml:space="preserve"> Native communities that </w:t>
      </w:r>
      <w:r>
        <w:rPr>
          <w:rFonts w:eastAsia="Times New Roman" w:cs="Arial"/>
          <w:szCs w:val="22"/>
        </w:rPr>
        <w:t>affects</w:t>
      </w:r>
      <w:r w:rsidRPr="007D2B43">
        <w:rPr>
          <w:rFonts w:eastAsia="Times New Roman" w:cs="Arial"/>
          <w:szCs w:val="22"/>
        </w:rPr>
        <w:t xml:space="preserve"> health and wellbeing (Walters &amp; Simoni, 2002; Walters, Simoni &amp; Evans- Campbell, 2002). The embodiment of historical trauma response is also evidenced in the impact of trauma and PTSD on Native women’s health</w:t>
      </w:r>
      <w:r>
        <w:rPr>
          <w:rFonts w:eastAsia="Times New Roman" w:cs="Arial"/>
          <w:szCs w:val="22"/>
        </w:rPr>
        <w:t xml:space="preserve"> (</w:t>
      </w:r>
      <w:r w:rsidRPr="007D2B43">
        <w:rPr>
          <w:rFonts w:eastAsia="Times New Roman" w:cs="Arial"/>
          <w:szCs w:val="22"/>
        </w:rPr>
        <w:t xml:space="preserve">Walters </w:t>
      </w:r>
      <w:r>
        <w:rPr>
          <w:rFonts w:eastAsia="Times New Roman" w:cs="Arial"/>
          <w:szCs w:val="22"/>
        </w:rPr>
        <w:t xml:space="preserve">&amp; </w:t>
      </w:r>
      <w:r w:rsidRPr="007D2B43">
        <w:rPr>
          <w:rFonts w:eastAsia="Times New Roman" w:cs="Arial"/>
          <w:szCs w:val="22"/>
        </w:rPr>
        <w:t>Simoni</w:t>
      </w:r>
      <w:r>
        <w:rPr>
          <w:rFonts w:eastAsia="Times New Roman" w:cs="Arial"/>
          <w:szCs w:val="22"/>
        </w:rPr>
        <w:t>,</w:t>
      </w:r>
      <w:r w:rsidRPr="007D2B43">
        <w:rPr>
          <w:rFonts w:eastAsia="Times New Roman" w:cs="Arial"/>
          <w:szCs w:val="22"/>
        </w:rPr>
        <w:t xml:space="preserve"> 2002</w:t>
      </w:r>
      <w:r>
        <w:rPr>
          <w:rFonts w:eastAsia="Times New Roman" w:cs="Arial"/>
          <w:szCs w:val="22"/>
        </w:rPr>
        <w:t>)</w:t>
      </w:r>
      <w:r w:rsidRPr="007D2B43">
        <w:rPr>
          <w:rFonts w:eastAsia="Times New Roman" w:cs="Arial"/>
          <w:szCs w:val="22"/>
        </w:rPr>
        <w:t xml:space="preserve">. They </w:t>
      </w:r>
      <w:r>
        <w:rPr>
          <w:rFonts w:eastAsia="Times New Roman" w:cs="Arial"/>
          <w:szCs w:val="22"/>
        </w:rPr>
        <w:t>note</w:t>
      </w:r>
      <w:r w:rsidRPr="007D2B43">
        <w:rPr>
          <w:rFonts w:eastAsia="Times New Roman" w:cs="Arial"/>
          <w:szCs w:val="22"/>
        </w:rPr>
        <w:t xml:space="preserve"> that discrimination has been related not only to psychological and emotional distress but also is embodied </w:t>
      </w:r>
      <w:r>
        <w:rPr>
          <w:rFonts w:eastAsia="Times New Roman" w:cs="Arial"/>
          <w:szCs w:val="22"/>
        </w:rPr>
        <w:t>in</w:t>
      </w:r>
      <w:r w:rsidRPr="007D2B43">
        <w:rPr>
          <w:rFonts w:eastAsia="Times New Roman" w:cs="Arial"/>
          <w:szCs w:val="22"/>
        </w:rPr>
        <w:t xml:space="preserve"> experiences of poor physical health and medical conditions such as high blood pressure. Furthermore, evidence indicates that multiple forms or experiences of discrimination may culminate in physical and mental health symptoms for Native people and people of colour (Walters &amp; Simoni, 2002). In a study related to the impact of trauma on the wellbeing of two-spirit people, Lehavot, Walters, and Simoni (2009) note that higher levels of childhood trauma, physical assault, sexual assault and intimate partner violence w</w:t>
      </w:r>
      <w:r>
        <w:rPr>
          <w:rFonts w:eastAsia="Times New Roman" w:cs="Arial"/>
          <w:szCs w:val="22"/>
        </w:rPr>
        <w:t>ere</w:t>
      </w:r>
      <w:r w:rsidRPr="007D2B43">
        <w:rPr>
          <w:rFonts w:eastAsia="Times New Roman" w:cs="Arial"/>
          <w:szCs w:val="22"/>
        </w:rPr>
        <w:t xml:space="preserve"> related </w:t>
      </w:r>
      <w:r>
        <w:rPr>
          <w:rFonts w:eastAsia="Times New Roman" w:cs="Arial"/>
          <w:szCs w:val="22"/>
        </w:rPr>
        <w:t>to</w:t>
      </w:r>
      <w:r w:rsidRPr="007D2B43">
        <w:rPr>
          <w:rFonts w:eastAsia="Times New Roman" w:cs="Arial"/>
          <w:szCs w:val="22"/>
        </w:rPr>
        <w:t xml:space="preserve"> worse mental and physical health. </w:t>
      </w:r>
    </w:p>
    <w:p w14:paraId="34051F7E" w14:textId="08C4F924" w:rsidR="00187209" w:rsidRPr="007D2B43" w:rsidRDefault="00187209" w:rsidP="00187209">
      <w:pPr>
        <w:spacing w:before="100" w:beforeAutospacing="1" w:after="100" w:afterAutospacing="1"/>
        <w:rPr>
          <w:rFonts w:eastAsia="Times New Roman" w:cs="Arial"/>
          <w:szCs w:val="22"/>
        </w:rPr>
      </w:pPr>
      <w:r w:rsidRPr="007D2B43">
        <w:rPr>
          <w:rFonts w:eastAsia="Times New Roman" w:cs="Arial"/>
          <w:szCs w:val="22"/>
        </w:rPr>
        <w:t xml:space="preserve">Historical trauma response within families has been </w:t>
      </w:r>
      <w:r>
        <w:rPr>
          <w:rFonts w:eastAsia="Times New Roman" w:cs="Arial"/>
          <w:szCs w:val="22"/>
        </w:rPr>
        <w:t>examined</w:t>
      </w:r>
      <w:r w:rsidRPr="007D2B43">
        <w:rPr>
          <w:rFonts w:eastAsia="Times New Roman" w:cs="Arial"/>
          <w:szCs w:val="22"/>
        </w:rPr>
        <w:t xml:space="preserve"> by Brave Heart and DeBruyn (1998) in the area of parenting, and Evans-Campbell (2008) notes that the impact </w:t>
      </w:r>
      <w:r>
        <w:rPr>
          <w:rFonts w:eastAsia="Times New Roman" w:cs="Arial"/>
          <w:szCs w:val="22"/>
        </w:rPr>
        <w:t>on</w:t>
      </w:r>
      <w:r w:rsidRPr="007D2B43">
        <w:rPr>
          <w:rFonts w:eastAsia="Times New Roman" w:cs="Arial"/>
          <w:szCs w:val="22"/>
        </w:rPr>
        <w:t xml:space="preserve"> communit</w:t>
      </w:r>
      <w:r>
        <w:rPr>
          <w:rFonts w:eastAsia="Times New Roman" w:cs="Arial"/>
          <w:szCs w:val="22"/>
        </w:rPr>
        <w:t>ies</w:t>
      </w:r>
      <w:r w:rsidRPr="007D2B43">
        <w:rPr>
          <w:rFonts w:eastAsia="Times New Roman" w:cs="Arial"/>
          <w:szCs w:val="22"/>
        </w:rPr>
        <w:t xml:space="preserve"> includes the breakdown of traditional culture, values, rites of passage and knowledge about how to raise and parent children.</w:t>
      </w:r>
      <w:r w:rsidR="005F3CA3">
        <w:rPr>
          <w:rFonts w:eastAsia="Times New Roman" w:cs="Arial"/>
          <w:szCs w:val="22"/>
        </w:rPr>
        <w:t xml:space="preserve"> Duran and Duran (1995) emphasis</w:t>
      </w:r>
      <w:r w:rsidRPr="007D2B43">
        <w:rPr>
          <w:rFonts w:eastAsia="Times New Roman" w:cs="Arial"/>
          <w:szCs w:val="22"/>
        </w:rPr>
        <w:t xml:space="preserve">e the colonial attack on the family through the boarding school system as being a process of eradicating the family from the thinking and practices of Native peoples and thereby removing a critical process of collective cultural reproduction through the generations. They argue that seeking to intervene </w:t>
      </w:r>
      <w:r>
        <w:rPr>
          <w:rFonts w:eastAsia="Times New Roman" w:cs="Arial"/>
          <w:szCs w:val="22"/>
        </w:rPr>
        <w:t>in</w:t>
      </w:r>
      <w:r w:rsidRPr="007D2B43">
        <w:rPr>
          <w:rFonts w:eastAsia="Times New Roman" w:cs="Arial"/>
          <w:szCs w:val="22"/>
        </w:rPr>
        <w:t xml:space="preserve"> issues within Native families is made problematic as those issues are in fact “caused by a conspiracy that was implemente</w:t>
      </w:r>
      <w:r w:rsidR="00821B15">
        <w:rPr>
          <w:rFonts w:eastAsia="Times New Roman" w:cs="Arial"/>
          <w:szCs w:val="22"/>
        </w:rPr>
        <w:t>d over a hundred years ago” (p.</w:t>
      </w:r>
      <w:r w:rsidRPr="007D2B43">
        <w:rPr>
          <w:rFonts w:eastAsia="Times New Roman" w:cs="Arial"/>
          <w:szCs w:val="22"/>
        </w:rPr>
        <w:t xml:space="preserve">28). </w:t>
      </w:r>
    </w:p>
    <w:p w14:paraId="4395E7C2" w14:textId="1F834DE8" w:rsidR="00187209" w:rsidRPr="00D12057" w:rsidRDefault="00187209" w:rsidP="00187209">
      <w:pPr>
        <w:rPr>
          <w:rFonts w:ascii="Times New Roman" w:hAnsi="Times New Roman"/>
          <w:sz w:val="24"/>
        </w:rPr>
      </w:pPr>
      <w:r w:rsidRPr="007D2B43">
        <w:lastRenderedPageBreak/>
        <w:t>Brave Heart (1999) locates social issues rising from historical trauma within the construct of opp</w:t>
      </w:r>
      <w:r w:rsidRPr="004B02AC">
        <w:t xml:space="preserve">ression and unresolved intergenerational grief, noting that a key element of historical trauma is “historical disenfranchised grief” (Braveheart 1999, </w:t>
      </w:r>
      <w:r w:rsidR="00821B15" w:rsidRPr="004B02AC">
        <w:t>p.</w:t>
      </w:r>
      <w:r w:rsidRPr="004B02AC">
        <w:t>60). This emphasises that the denial of cultural grieving for those deaths caused by historical trauma events results in intergenerational unresolved grief. That grief impacts significantly on the wellbeing of Native peoples and has critical implications for following generations. Thes</w:t>
      </w:r>
      <w:r w:rsidRPr="007D2B43">
        <w:t xml:space="preserve">e understandings resonate </w:t>
      </w:r>
      <w:r>
        <w:t>with</w:t>
      </w:r>
      <w:r w:rsidRPr="007D2B43">
        <w:t xml:space="preserve"> </w:t>
      </w:r>
      <w:r>
        <w:t>K</w:t>
      </w:r>
      <w:r w:rsidRPr="007D2B43">
        <w:t>aupapa M</w:t>
      </w:r>
      <w:r>
        <w:t>ā</w:t>
      </w:r>
      <w:r w:rsidRPr="007D2B43">
        <w:t xml:space="preserve">ori </w:t>
      </w:r>
      <w:r>
        <w:t>approaches, which identify</w:t>
      </w:r>
      <w:r w:rsidRPr="007D2B43">
        <w:t xml:space="preserve"> whakapapa </w:t>
      </w:r>
      <w:r>
        <w:t>as</w:t>
      </w:r>
      <w:r w:rsidRPr="007D2B43">
        <w:t xml:space="preserve"> essential to the transformation of M</w:t>
      </w:r>
      <w:r>
        <w:t>ā</w:t>
      </w:r>
      <w:r w:rsidRPr="007D2B43">
        <w:t xml:space="preserve">ori </w:t>
      </w:r>
      <w:r>
        <w:t>experiences</w:t>
      </w:r>
      <w:r w:rsidRPr="007D2B43">
        <w:t xml:space="preserve"> not only in material terms but also in regard to spiritual relationships (Pihama, 2001; Taki, 1996). </w:t>
      </w:r>
    </w:p>
    <w:p w14:paraId="68E8E626" w14:textId="37D9C4C5" w:rsidR="00187209" w:rsidRPr="00A0701F" w:rsidRDefault="00187209" w:rsidP="00187209">
      <w:pPr>
        <w:spacing w:before="100" w:beforeAutospacing="1" w:after="100" w:afterAutospacing="1"/>
        <w:rPr>
          <w:rFonts w:eastAsia="Times New Roman" w:cs="Arial"/>
          <w:szCs w:val="22"/>
        </w:rPr>
      </w:pPr>
      <w:r>
        <w:t>Wesley-Esquimaux (2009) describes the impact as entering into people’s lives through a reliving of memories both in mind and body in ways that influence social and interpersonal behaviours. This, added to daily experiences of colonial domin</w:t>
      </w:r>
      <w:r w:rsidRPr="00A0701F">
        <w:t>ation, both personal and structural, creates a context of extreme stress</w:t>
      </w:r>
      <w:r w:rsidR="00191916" w:rsidRPr="00A0701F">
        <w:t xml:space="preserve"> for many Māori and Indigenous p</w:t>
      </w:r>
      <w:r w:rsidRPr="00A0701F">
        <w:t xml:space="preserve">eoples. Intergenerational impact is therefore a direct outcome of unresolved trauma, which manifests in a range of behaviours that then inform the learning environment of, and are passed on to, subsequent generations (Duran and Duran 1995). </w:t>
      </w:r>
      <w:r w:rsidRPr="00A0701F">
        <w:rPr>
          <w:rFonts w:eastAsia="Times New Roman" w:cs="Arial"/>
          <w:szCs w:val="22"/>
        </w:rPr>
        <w:t xml:space="preserve">Historical trauma responses are multi-levelled and include individual, familial and community impacts, with transmission being at both personal and societal levels (Evans-Campbell, 2008). Evans-Campbell (2008) argues that collective and societal impacts must be clearly described in any research in the area. In Aotearoa this means engaging personal, collective and systemic issues simultaneously. </w:t>
      </w:r>
    </w:p>
    <w:p w14:paraId="49D2367E" w14:textId="4D39A55D" w:rsidR="00187209" w:rsidRPr="00A0701F" w:rsidRDefault="00187209" w:rsidP="00D67AFB">
      <w:pPr>
        <w:pStyle w:val="Heading2"/>
      </w:pPr>
      <w:r w:rsidRPr="00A0701F">
        <w:t>Barriers to Indigenous approaches</w:t>
      </w:r>
      <w:r w:rsidR="00EE6B8E" w:rsidRPr="00A0701F">
        <w:t xml:space="preserve"> to h</w:t>
      </w:r>
      <w:r w:rsidRPr="00A0701F">
        <w:t xml:space="preserve">istorical </w:t>
      </w:r>
      <w:r w:rsidR="00EE6B8E" w:rsidRPr="00A0701F">
        <w:t>t</w:t>
      </w:r>
      <w:r w:rsidRPr="00A0701F">
        <w:t>rauma</w:t>
      </w:r>
    </w:p>
    <w:p w14:paraId="20814ED3" w14:textId="3E7297CA" w:rsidR="00187209" w:rsidRDefault="00187209" w:rsidP="00187209">
      <w:r w:rsidRPr="00A0701F">
        <w:t xml:space="preserve">It is well documented that Native American peoples have experienced traumatic and genocidal events for over 500 years and the effects of such systemic acts are devastating for communities both in their direct impact and in how they are understood (Duran &amp; Duran, 1995). However, the dominant focus on the impact of such trauma continues to be framed through a deficit view. The effects of historical trauma and genocide are quickly personalised into victim-blaming approaches. Duran and Duran (1995) argue that this is facilitated by the use of diagnostic </w:t>
      </w:r>
      <w:r w:rsidR="00191916" w:rsidRPr="00A0701F">
        <w:t>and labelling tools based upon W</w:t>
      </w:r>
      <w:r w:rsidRPr="00A0701F">
        <w:t xml:space="preserve">estern perspectives that fail to engage issues of colonisation, dispossession and oppression.  Furthermore, they note that such approaches then determine how state institutions interact with Indigenous </w:t>
      </w:r>
      <w:r w:rsidR="00191916" w:rsidRPr="00A0701F">
        <w:t>p</w:t>
      </w:r>
      <w:r w:rsidRPr="00A0701F">
        <w:t xml:space="preserve">eoples. A critical barrier to Indigenous and Kaupapa Māori approaches to healing trauma has been the wider denial of the impact of colonisation and historical trauma. The dominance of </w:t>
      </w:r>
      <w:r w:rsidR="00191916" w:rsidRPr="00A0701F">
        <w:t>W</w:t>
      </w:r>
      <w:r w:rsidRPr="00A0701F">
        <w:t>estern reductionist modalities continues to plague the sector and to marginalise</w:t>
      </w:r>
      <w:r w:rsidR="00422DA7" w:rsidRPr="00A0701F">
        <w:t xml:space="preserve"> Kaupapa Māori healing pathways</w:t>
      </w:r>
      <w:r w:rsidRPr="00A0701F">
        <w:t xml:space="preserve"> (</w:t>
      </w:r>
      <w:r w:rsidRPr="00A0701F">
        <w:rPr>
          <w:color w:val="000000"/>
        </w:rPr>
        <w:t>Levy et</w:t>
      </w:r>
      <w:r w:rsidR="00422DA7" w:rsidRPr="00A0701F">
        <w:rPr>
          <w:color w:val="000000"/>
        </w:rPr>
        <w:t xml:space="preserve"> </w:t>
      </w:r>
      <w:r w:rsidRPr="00A0701F">
        <w:rPr>
          <w:color w:val="000000"/>
        </w:rPr>
        <w:t>al.</w:t>
      </w:r>
      <w:r w:rsidR="00422DA7" w:rsidRPr="00A0701F">
        <w:rPr>
          <w:color w:val="000000"/>
        </w:rPr>
        <w:t xml:space="preserve">, </w:t>
      </w:r>
      <w:r w:rsidRPr="00A0701F">
        <w:rPr>
          <w:color w:val="000000"/>
        </w:rPr>
        <w:t>2008</w:t>
      </w:r>
      <w:r w:rsidRPr="00A0701F">
        <w:t>)</w:t>
      </w:r>
      <w:r w:rsidR="00191916" w:rsidRPr="00A0701F">
        <w:t>.</w:t>
      </w:r>
    </w:p>
    <w:p w14:paraId="401441E3" w14:textId="6E2F9268" w:rsidR="00187209" w:rsidRPr="00A0701F" w:rsidRDefault="00187209" w:rsidP="00187209">
      <w:pPr>
        <w:rPr>
          <w:rFonts w:cs="Arial"/>
          <w:szCs w:val="22"/>
        </w:rPr>
      </w:pPr>
      <w:r w:rsidRPr="007D2B43">
        <w:rPr>
          <w:rFonts w:cs="Arial"/>
          <w:szCs w:val="22"/>
        </w:rPr>
        <w:t>Tessa Evans-Campbell (2008) argues that whil</w:t>
      </w:r>
      <w:r>
        <w:rPr>
          <w:rFonts w:cs="Arial"/>
          <w:szCs w:val="22"/>
        </w:rPr>
        <w:t>e</w:t>
      </w:r>
      <w:r w:rsidRPr="007D2B43">
        <w:rPr>
          <w:rFonts w:cs="Arial"/>
          <w:szCs w:val="22"/>
        </w:rPr>
        <w:t xml:space="preserve"> Native communities have shown a strength and resilience in light of coloni</w:t>
      </w:r>
      <w:r>
        <w:rPr>
          <w:rFonts w:cs="Arial"/>
          <w:szCs w:val="22"/>
        </w:rPr>
        <w:t>s</w:t>
      </w:r>
      <w:r w:rsidRPr="007D2B43">
        <w:rPr>
          <w:rFonts w:cs="Arial"/>
          <w:szCs w:val="22"/>
        </w:rPr>
        <w:t xml:space="preserve">ation and associated historical trauma, a huge toll </w:t>
      </w:r>
      <w:r>
        <w:rPr>
          <w:rFonts w:cs="Arial"/>
          <w:szCs w:val="22"/>
        </w:rPr>
        <w:t xml:space="preserve">has been </w:t>
      </w:r>
      <w:r w:rsidRPr="007D2B43">
        <w:rPr>
          <w:rFonts w:cs="Arial"/>
          <w:szCs w:val="22"/>
        </w:rPr>
        <w:t xml:space="preserve">experienced. It is argued that standard diagnosis in relation to trauma and the impact of historical trauma is limited </w:t>
      </w:r>
      <w:r>
        <w:rPr>
          <w:rFonts w:cs="Arial"/>
          <w:szCs w:val="22"/>
        </w:rPr>
        <w:t xml:space="preserve">for </w:t>
      </w:r>
      <w:r w:rsidRPr="007D2B43">
        <w:rPr>
          <w:rFonts w:cs="Arial"/>
          <w:szCs w:val="22"/>
        </w:rPr>
        <w:t xml:space="preserve">Native American and Alaskan communities (Evans-Campbell, 2008). Gagne (1998) </w:t>
      </w:r>
      <w:r>
        <w:rPr>
          <w:rFonts w:cs="Arial"/>
          <w:szCs w:val="22"/>
        </w:rPr>
        <w:t>comments</w:t>
      </w:r>
      <w:r w:rsidRPr="007D2B43">
        <w:rPr>
          <w:rFonts w:cs="Arial"/>
          <w:szCs w:val="22"/>
        </w:rPr>
        <w:t xml:space="preserve"> </w:t>
      </w:r>
      <w:r w:rsidRPr="007D2B43">
        <w:rPr>
          <w:rFonts w:cs="Arial"/>
          <w:szCs w:val="22"/>
        </w:rPr>
        <w:lastRenderedPageBreak/>
        <w:t>that the effects of trauma on First Nations people have been primarily discussed in terms of PTSD</w:t>
      </w:r>
      <w:r>
        <w:rPr>
          <w:rFonts w:cs="Arial"/>
          <w:szCs w:val="22"/>
        </w:rPr>
        <w:t>,</w:t>
      </w:r>
      <w:r w:rsidRPr="007D2B43">
        <w:rPr>
          <w:rFonts w:cs="Arial"/>
          <w:szCs w:val="22"/>
        </w:rPr>
        <w:t xml:space="preserve"> and that standard PTSD nomenclature “fails to adequat</w:t>
      </w:r>
      <w:r w:rsidRPr="00A0701F">
        <w:rPr>
          <w:rFonts w:cs="Arial"/>
          <w:szCs w:val="22"/>
        </w:rPr>
        <w:t>ely represent” Native American experiences o</w:t>
      </w:r>
      <w:r w:rsidR="00422DA7" w:rsidRPr="00A0701F">
        <w:rPr>
          <w:rFonts w:cs="Arial"/>
          <w:szCs w:val="22"/>
        </w:rPr>
        <w:t>f trauma (Brave Heart, 1999, p.</w:t>
      </w:r>
      <w:r w:rsidRPr="00A0701F">
        <w:rPr>
          <w:rFonts w:cs="Arial"/>
          <w:szCs w:val="22"/>
        </w:rPr>
        <w:t>3). Gagne (1998) further argues that while colonialism is often viewed as the “primary source of problems faced by First Nations cit</w:t>
      </w:r>
      <w:r w:rsidR="00422DA7" w:rsidRPr="00A0701F">
        <w:rPr>
          <w:rFonts w:cs="Arial"/>
          <w:szCs w:val="22"/>
        </w:rPr>
        <w:t>izens” (p.</w:t>
      </w:r>
      <w:r w:rsidRPr="00A0701F">
        <w:rPr>
          <w:rFonts w:cs="Arial"/>
          <w:szCs w:val="22"/>
        </w:rPr>
        <w:t xml:space="preserve">358) it is rarely discussed in PTSD research, and that few researchers in the field discuss specific historical events and their impacts on Indigenous communities. </w:t>
      </w:r>
    </w:p>
    <w:p w14:paraId="34A37DBD" w14:textId="77777777" w:rsidR="00187209" w:rsidRDefault="00187209" w:rsidP="00187209">
      <w:pPr>
        <w:rPr>
          <w:rFonts w:eastAsia="Times New Roman"/>
        </w:rPr>
      </w:pPr>
      <w:r w:rsidRPr="00A0701F">
        <w:t>Evans-Campbell (2008) lists clear limitations of PTSD classifications, emphasising that they (i) were not developed to address intergenerational trauma; (ii) are inadequate in relation to the possible compounding nature of responses to multiple stressors; (iii) focus only on impacts on the individual and not on social or familial impacts; (iv) do not explore how historical and contemporary trauma interact; (v) do not explore how present trauma can be understood in relation to historical events; and (vi) are limited in regard to exploring facts that buffer the impact of such trauma.</w:t>
      </w:r>
      <w:r w:rsidRPr="00A0701F">
        <w:rPr>
          <w:rFonts w:eastAsia="Times New Roman"/>
        </w:rPr>
        <w:t xml:space="preserve"> Bra</w:t>
      </w:r>
      <w:r>
        <w:rPr>
          <w:rFonts w:eastAsia="Times New Roman"/>
        </w:rPr>
        <w:t xml:space="preserve">ve Heart (2005) makes an important distinction, stating: </w:t>
      </w:r>
    </w:p>
    <w:tbl>
      <w:tblPr>
        <w:tblStyle w:val="TableGrid"/>
        <w:tblW w:w="0" w:type="auto"/>
        <w:tblLook w:val="04A0" w:firstRow="1" w:lastRow="0" w:firstColumn="1" w:lastColumn="0" w:noHBand="0" w:noVBand="1"/>
      </w:tblPr>
      <w:tblGrid>
        <w:gridCol w:w="9858"/>
      </w:tblGrid>
      <w:tr w:rsidR="000A70B5" w:rsidRPr="00A62683" w14:paraId="707BF3F6" w14:textId="77777777" w:rsidTr="004B02AC">
        <w:tc>
          <w:tcPr>
            <w:tcW w:w="10490" w:type="dxa"/>
            <w:tcBorders>
              <w:top w:val="nil"/>
              <w:left w:val="nil"/>
              <w:bottom w:val="nil"/>
              <w:right w:val="nil"/>
            </w:tcBorders>
            <w:shd w:val="clear" w:color="auto" w:fill="4F81BD"/>
          </w:tcPr>
          <w:p w14:paraId="455BDEB7" w14:textId="042BE71C" w:rsidR="000A70B5" w:rsidRPr="00C87D41" w:rsidRDefault="000A70B5" w:rsidP="004B02AC">
            <w:pPr>
              <w:pStyle w:val="BodyText"/>
              <w:spacing w:before="240" w:after="240" w:line="312" w:lineRule="auto"/>
              <w:rPr>
                <w:lang w:val="mi-NZ"/>
              </w:rPr>
            </w:pPr>
            <w:r w:rsidRPr="000A70B5">
              <w:rPr>
                <w:rFonts w:ascii="Arial" w:hAnsi="Arial" w:cs="Arial"/>
                <w:i/>
                <w:color w:val="FFFFFF" w:themeColor="background1"/>
              </w:rPr>
              <w:t>We are survivors of genocide. We may have a higher trauma threshold due to our severe chronic trauma so we may not fit the PTSD (posttraumatic stress disorder) criteria … We are survivors of intergenerational trauma, not just traumas within our lifespan. Our culture and history also influence the way we show our symptoms and the way in which we manifest our symptoms. Our grief is different from the dominant culture’s grief (p.2-3).</w:t>
            </w:r>
          </w:p>
        </w:tc>
      </w:tr>
    </w:tbl>
    <w:p w14:paraId="29E2B56F" w14:textId="7A2AFC7D" w:rsidR="00187209" w:rsidRDefault="00187209" w:rsidP="000A70B5">
      <w:pPr>
        <w:spacing w:before="240"/>
      </w:pPr>
      <w:r>
        <w:t>Duran (2006) notes that those working in the area must be aware of the “horrendous holoca</w:t>
      </w:r>
      <w:r w:rsidR="00B96D35">
        <w:t>ust” experienced by Indigenous p</w:t>
      </w:r>
      <w:r>
        <w:t xml:space="preserve">eoples (p.7). Central to these understandings is an acknowledgement of the enormity of the acts of genocide by colonial invaders of Indigenous lands and the need for a deep understanding of the magnitude of the impact of historical trauma and the intentional acts of genocide and ethnocide that drove such events (Evans-Campbell, 2008).  </w:t>
      </w:r>
    </w:p>
    <w:p w14:paraId="219EB3C5" w14:textId="494AEBFC" w:rsidR="00187209" w:rsidRDefault="00187209" w:rsidP="00187209">
      <w:r>
        <w:t>Understanding the role of intergenerational trauma in historical trauma theory is critical. A lack of knowledge of the impact of the multigenerational aspects of trauma has meant that the impact on the descendants of survivors of historical trauma has remained “misunderstood and not treated appropriately” (Brave Heart, 2000). Smith (2019) notes that the dominance of Western dualistic thinking creates a context of binaries that does not align with mātauranga Māori. For example, he notes</w:t>
      </w:r>
      <w:r w:rsidR="00997A7C">
        <w:t>:</w:t>
      </w:r>
    </w:p>
    <w:tbl>
      <w:tblPr>
        <w:tblStyle w:val="TableGrid"/>
        <w:tblW w:w="0" w:type="auto"/>
        <w:tblLook w:val="04A0" w:firstRow="1" w:lastRow="0" w:firstColumn="1" w:lastColumn="0" w:noHBand="0" w:noVBand="1"/>
      </w:tblPr>
      <w:tblGrid>
        <w:gridCol w:w="9858"/>
      </w:tblGrid>
      <w:tr w:rsidR="00221171" w:rsidRPr="00A62683" w14:paraId="2EF72519" w14:textId="77777777" w:rsidTr="00221171">
        <w:tc>
          <w:tcPr>
            <w:tcW w:w="9858" w:type="dxa"/>
            <w:tcBorders>
              <w:top w:val="nil"/>
              <w:left w:val="nil"/>
              <w:bottom w:val="nil"/>
              <w:right w:val="nil"/>
            </w:tcBorders>
            <w:shd w:val="clear" w:color="auto" w:fill="4F81BD"/>
          </w:tcPr>
          <w:p w14:paraId="43CD1DA5" w14:textId="37B32941" w:rsidR="00221171" w:rsidRPr="00221171" w:rsidRDefault="00221171" w:rsidP="00221171">
            <w:pPr>
              <w:pStyle w:val="BodyText"/>
              <w:spacing w:before="240" w:after="240" w:line="312" w:lineRule="auto"/>
              <w:rPr>
                <w:rFonts w:ascii="Arial" w:hAnsi="Arial" w:cs="Arial"/>
                <w:i/>
                <w:lang w:val="mi-NZ"/>
              </w:rPr>
            </w:pPr>
            <w:r w:rsidRPr="00221171">
              <w:rPr>
                <w:rFonts w:ascii="Arial" w:hAnsi="Arial" w:cs="Arial"/>
                <w:i/>
                <w:color w:val="FFFFFF" w:themeColor="background1"/>
                <w:lang w:val="mi-NZ"/>
              </w:rPr>
              <w:t>Western theories of knowledge tend to view light and dark as binary opposites. In traditional Māori narratives, light and dark are different states of being, both with aspects of well-being and healing. In Māori knowledge systems, the atua all had a place and it was the balance between these atua that was important, as well as rebalancing when there was disruption through trauma (p.4).</w:t>
            </w:r>
          </w:p>
        </w:tc>
      </w:tr>
    </w:tbl>
    <w:p w14:paraId="1D758966" w14:textId="1F83365D" w:rsidR="00187209" w:rsidRDefault="00221171" w:rsidP="00724A6E">
      <w:pPr>
        <w:pStyle w:val="Heading1"/>
      </w:pPr>
      <w:r w:rsidRPr="000A70B5">
        <w:rPr>
          <w:rFonts w:cs="Arial"/>
          <w:i/>
          <w:color w:val="FFFFFF" w:themeColor="background1"/>
        </w:rPr>
        <w:lastRenderedPageBreak/>
        <w:t xml:space="preserve"> </w:t>
      </w:r>
      <w:r w:rsidR="00187209">
        <w:t>Where to from here</w:t>
      </w:r>
    </w:p>
    <w:p w14:paraId="4124C61A" w14:textId="77777777" w:rsidR="00187209" w:rsidRDefault="00187209" w:rsidP="00EE6B8E">
      <w:pPr>
        <w:pStyle w:val="Heading2"/>
      </w:pPr>
      <w:r>
        <w:t xml:space="preserve">Exploring Māori concepts related to trauma </w:t>
      </w:r>
    </w:p>
    <w:p w14:paraId="6F7C2185" w14:textId="19607877" w:rsidR="009F20FA" w:rsidRPr="009F20FA" w:rsidRDefault="00187209" w:rsidP="009F20FA">
      <w:r>
        <w:t>Māori views of whānau violence recognise the need for political, cultural and spiritual understandings and explanati</w:t>
      </w:r>
      <w:r w:rsidR="00944D05">
        <w:t xml:space="preserve">ons. </w:t>
      </w:r>
      <w:r>
        <w:t>This has been done by the Māori Taskforce in defining whānau violence (Kruger et al., 2004), showing that a clear limitation in existing definitions was the lack of recognition of the violence perpetrated upon whānau Māori through the actions of succ</w:t>
      </w:r>
      <w:r w:rsidR="00944D05">
        <w:t xml:space="preserve">essive colonial governments. </w:t>
      </w:r>
      <w:r>
        <w:t xml:space="preserve">In doing so the Taskforce note that the framework for healing provided in the report is based on the notion that colonisation has distorted Māori notions of whakapapa, tikanga, wairua, tapu, mauri and mana, and in doing so any view of whānau violence must locate colonisation as central. The Māori Family Violence in Aotearoa report (Balzer et al., 1997) shows that there are links between the suppression of Māori knowledge and tikanga; colonisation and the imposition of </w:t>
      </w:r>
      <w:r w:rsidR="00944D05">
        <w:t>W</w:t>
      </w:r>
      <w:r>
        <w:t xml:space="preserve">estern beliefs and practices; and acts of violence in Māori whānau, hapū and iwi. </w:t>
      </w:r>
    </w:p>
    <w:tbl>
      <w:tblPr>
        <w:tblStyle w:val="TableGrid"/>
        <w:tblW w:w="0" w:type="auto"/>
        <w:tblLook w:val="04A0" w:firstRow="1" w:lastRow="0" w:firstColumn="1" w:lastColumn="0" w:noHBand="0" w:noVBand="1"/>
      </w:tblPr>
      <w:tblGrid>
        <w:gridCol w:w="9858"/>
      </w:tblGrid>
      <w:tr w:rsidR="009F20FA" w:rsidRPr="00A62683" w14:paraId="237DB33D" w14:textId="77777777" w:rsidTr="004B02AC">
        <w:tc>
          <w:tcPr>
            <w:tcW w:w="9858" w:type="dxa"/>
            <w:tcBorders>
              <w:top w:val="nil"/>
              <w:left w:val="nil"/>
              <w:bottom w:val="nil"/>
              <w:right w:val="nil"/>
            </w:tcBorders>
            <w:shd w:val="clear" w:color="auto" w:fill="4F81BD"/>
          </w:tcPr>
          <w:p w14:paraId="081EDFD5" w14:textId="12320594" w:rsidR="009F20FA" w:rsidRPr="002C1772" w:rsidRDefault="009F20FA" w:rsidP="009F20FA">
            <w:pPr>
              <w:pStyle w:val="BodyText"/>
              <w:keepNext/>
              <w:spacing w:before="240" w:after="240" w:line="312" w:lineRule="auto"/>
              <w:rPr>
                <w:rFonts w:ascii="Arial" w:hAnsi="Arial" w:cs="Arial"/>
                <w:i/>
                <w:lang w:val="en-NZ"/>
              </w:rPr>
            </w:pPr>
            <w:r w:rsidRPr="009F20FA">
              <w:rPr>
                <w:rFonts w:ascii="Arial" w:hAnsi="Arial" w:cs="Arial"/>
                <w:i/>
                <w:color w:val="FFFFFF" w:themeColor="background1"/>
                <w:lang w:val="en-NZ"/>
              </w:rPr>
              <w:t>We make links between the denigration of mana Māori, isolation from ancestral land and cultural practices, the disintegration of social and political structures and the imposition of Western ideologies and practices that play a major role in redefining the position of Māori in the world (p.7).</w:t>
            </w:r>
          </w:p>
        </w:tc>
      </w:tr>
    </w:tbl>
    <w:p w14:paraId="62875850" w14:textId="7E9FD121" w:rsidR="00187209" w:rsidRDefault="00187209" w:rsidP="009F20FA">
      <w:pPr>
        <w:spacing w:before="240"/>
      </w:pPr>
      <w:r>
        <w:t>Takirirangi Smith (2015) has provided a discussion that locates trauma for Māori within notions of ‘patu ngākau’, ‘pouri’ and ‘mamae</w:t>
      </w:r>
      <w:r w:rsidR="0049030E">
        <w:t>.</w:t>
      </w:r>
      <w:r>
        <w:t>’ Within these understandings is an affirmation of the ways in which trauma is embodied. It is important to provide a deeper understanding of the notion of ‘patu ngākau</w:t>
      </w:r>
      <w:r w:rsidR="0049030E">
        <w:t>,</w:t>
      </w:r>
      <w:r>
        <w:t>’ as it is a central concept for Māori when engaging with understanding trauma that “might be translated as a strike or an assault to the heart or the source of the emotions” (p.264). He notes that the term indicates an internal psychological and spiritual impact with the event that inflicts such an impact being attributed to a form of abuse towards an individual or collective. The traumatic event, whether physical, psychological, or both, is experienced as “an assault to the ngākau, that is the emotional core of a person and the location where memories are stored” (p.264). This, for Māori, includes the traumatic impact of the dispossession of lands and the collective oppression of Māori through colonisation (Smith, 2015). Smith (2015) notes that trauma for Māori includes the experience, and impact of ‘patu ngākau’ and its relationship to wider concepts of ‘pouri’ and ‘mamae</w:t>
      </w:r>
      <w:r w:rsidR="0049030E">
        <w:t>.</w:t>
      </w:r>
      <w:r>
        <w:t>’ Smith (20</w:t>
      </w:r>
      <w:r w:rsidR="0071745D">
        <w:t>15</w:t>
      </w:r>
      <w:r w:rsidR="008759AC">
        <w:t>, p.255</w:t>
      </w:r>
      <w:r w:rsidR="0071745D">
        <w:t>) further expands as follows:</w:t>
      </w:r>
    </w:p>
    <w:p w14:paraId="7D53D125" w14:textId="77777777" w:rsidR="00187209" w:rsidRDefault="00187209" w:rsidP="0021755C">
      <w:pPr>
        <w:pStyle w:val="Normal1"/>
        <w:numPr>
          <w:ilvl w:val="0"/>
          <w:numId w:val="36"/>
        </w:numPr>
        <w:spacing w:before="0" w:line="312" w:lineRule="auto"/>
      </w:pPr>
      <w:r>
        <w:t>Patu ngākau: describes a deep psychological shock but is related more to the event that caused the shock.</w:t>
      </w:r>
    </w:p>
    <w:p w14:paraId="138B81B7" w14:textId="77777777" w:rsidR="00187209" w:rsidRDefault="00187209" w:rsidP="0021755C">
      <w:pPr>
        <w:pStyle w:val="Normal1"/>
        <w:numPr>
          <w:ilvl w:val="0"/>
          <w:numId w:val="36"/>
        </w:numPr>
        <w:spacing w:before="0" w:line="312" w:lineRule="auto"/>
      </w:pPr>
      <w:r>
        <w:t xml:space="preserve">Pouritanga and mamae might also describe trauma but refer more to the state of being following the initial trauma event or shock.  </w:t>
      </w:r>
    </w:p>
    <w:p w14:paraId="69FBF3F6" w14:textId="5946A048" w:rsidR="00187209" w:rsidRDefault="00187209" w:rsidP="0021755C">
      <w:pPr>
        <w:pStyle w:val="Normal1"/>
        <w:numPr>
          <w:ilvl w:val="0"/>
          <w:numId w:val="36"/>
        </w:numPr>
        <w:spacing w:before="0" w:line="312" w:lineRule="auto"/>
      </w:pPr>
      <w:r>
        <w:lastRenderedPageBreak/>
        <w:t xml:space="preserve">Mamae generally refers to physical pain. When applied in reference to the internal system or organs of the human body, although the emphasis is on the physical it assumes a meaning that includes both physical and psychological pain.  </w:t>
      </w:r>
    </w:p>
    <w:p w14:paraId="6938675B" w14:textId="250BDB1C" w:rsidR="00187209" w:rsidRDefault="00864A20" w:rsidP="004B02AC">
      <w:pPr>
        <w:pStyle w:val="Normal1"/>
        <w:numPr>
          <w:ilvl w:val="0"/>
          <w:numId w:val="36"/>
        </w:numPr>
        <w:spacing w:before="0" w:after="240" w:line="312" w:lineRule="auto"/>
      </w:pPr>
      <w:r>
        <w:rPr>
          <w:noProof/>
          <w:lang w:eastAsia="en-NZ"/>
        </w:rPr>
        <mc:AlternateContent>
          <mc:Choice Requires="wps">
            <w:drawing>
              <wp:anchor distT="0" distB="0" distL="114300" distR="114300" simplePos="0" relativeHeight="251663360" behindDoc="0" locked="0" layoutInCell="1" allowOverlap="1" wp14:anchorId="00A0ADEC" wp14:editId="68541667">
                <wp:simplePos x="0" y="0"/>
                <wp:positionH relativeFrom="column">
                  <wp:posOffset>4542945</wp:posOffset>
                </wp:positionH>
                <wp:positionV relativeFrom="paragraph">
                  <wp:posOffset>1018708</wp:posOffset>
                </wp:positionV>
                <wp:extent cx="1828800" cy="1863090"/>
                <wp:effectExtent l="0" t="0" r="0" b="3810"/>
                <wp:wrapSquare wrapText="bothSides"/>
                <wp:docPr id="17" name="Rectangle 17"/>
                <wp:cNvGraphicFramePr/>
                <a:graphic xmlns:a="http://schemas.openxmlformats.org/drawingml/2006/main">
                  <a:graphicData uri="http://schemas.microsoft.com/office/word/2010/wordprocessingShape">
                    <wps:wsp>
                      <wps:cNvSpPr/>
                      <wps:spPr>
                        <a:xfrm>
                          <a:off x="0" y="0"/>
                          <a:ext cx="1828800" cy="18630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BF7C5" w14:textId="681A4158" w:rsidR="0011449F" w:rsidRPr="0011449F" w:rsidRDefault="0011449F" w:rsidP="0011449F">
                            <w:pPr>
                              <w:rPr>
                                <w:rFonts w:ascii="SabonMaori" w:hAnsi="SabonMaori"/>
                                <w:i/>
                                <w:szCs w:val="22"/>
                              </w:rPr>
                            </w:pPr>
                            <w:r w:rsidRPr="0011449F">
                              <w:rPr>
                                <w:i/>
                              </w:rPr>
                              <w:t xml:space="preserve">Wirihana and Smith (2014) note that the acknowledgement of historical trauma for Māori is necessary to </w:t>
                            </w:r>
                            <w:r w:rsidRPr="0011449F">
                              <w:rPr>
                                <w:rFonts w:ascii="SabonMaori" w:hAnsi="SabonMaori"/>
                                <w:i/>
                                <w:szCs w:val="22"/>
                              </w:rPr>
                              <w:t>“</w:t>
                            </w:r>
                            <w:r w:rsidRPr="0011449F">
                              <w:rPr>
                                <w:i/>
                              </w:rPr>
                              <w:t>facilitate individual and collective soul healing.”</w:t>
                            </w:r>
                            <w:r w:rsidRPr="0011449F">
                              <w:rPr>
                                <w:rFonts w:ascii="SabonMaori" w:hAnsi="SabonMaori"/>
                                <w:i/>
                                <w:szCs w:val="22"/>
                              </w:rPr>
                              <w:t xml:space="preserve"> </w:t>
                            </w:r>
                          </w:p>
                          <w:p w14:paraId="7433A118" w14:textId="7EFDC277" w:rsidR="0011449F" w:rsidRDefault="0011449F" w:rsidP="0011449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A0ADEC" id="Rectangle 17" o:spid="_x0000_s1029" style="position:absolute;left:0;text-align:left;margin-left:357.7pt;margin-top:80.2pt;width:2in;height:1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" fillcolor="#5b9bd5 [3204]" stroked="f" strokeweight="1pt">
                <v:textbox inset=",14.4pt,8.64pt,18pt">
                  <w:txbxContent>
                    <w:p w14:paraId="5C9BF7C5" w14:textId="681A4158" w:rsidR="0011449F" w:rsidRPr="0011449F" w:rsidRDefault="0011449F" w:rsidP="0011449F">
                      <w:pPr>
                        <w:rPr>
                          <w:rFonts w:ascii="SabonMaori" w:hAnsi="SabonMaori"/>
                          <w:i/>
                          <w:szCs w:val="22"/>
                        </w:rPr>
                      </w:pPr>
                      <w:proofErr w:type="spellStart"/>
                      <w:r w:rsidRPr="0011449F">
                        <w:rPr>
                          <w:i/>
                        </w:rPr>
                        <w:t>Wirihana</w:t>
                      </w:r>
                      <w:proofErr w:type="spellEnd"/>
                      <w:r w:rsidRPr="0011449F">
                        <w:rPr>
                          <w:i/>
                        </w:rPr>
                        <w:t xml:space="preserve"> and Smith (2014) note that the acknowledgement of historical trauma for Māori is necessary to </w:t>
                      </w:r>
                      <w:r w:rsidRPr="0011449F">
                        <w:rPr>
                          <w:rFonts w:ascii="SabonMaori" w:hAnsi="SabonMaori"/>
                          <w:i/>
                          <w:szCs w:val="22"/>
                        </w:rPr>
                        <w:t>“</w:t>
                      </w:r>
                      <w:r w:rsidRPr="0011449F">
                        <w:rPr>
                          <w:i/>
                        </w:rPr>
                        <w:t>facilitate individual and collective soul healing.”</w:t>
                      </w:r>
                      <w:r w:rsidRPr="0011449F">
                        <w:rPr>
                          <w:rFonts w:ascii="SabonMaori" w:hAnsi="SabonMaori"/>
                          <w:i/>
                          <w:szCs w:val="22"/>
                        </w:rPr>
                        <w:t xml:space="preserve"> </w:t>
                      </w:r>
                    </w:p>
                    <w:p w14:paraId="7433A118" w14:textId="7EFDC277" w:rsidR="0011449F" w:rsidRDefault="0011449F" w:rsidP="0011449F">
                      <w:pPr>
                        <w:rPr>
                          <w:color w:val="FFFFFF" w:themeColor="background1"/>
                        </w:rPr>
                      </w:pPr>
                    </w:p>
                  </w:txbxContent>
                </v:textbox>
                <w10:wrap type="square"/>
              </v:rect>
            </w:pict>
          </mc:Fallback>
        </mc:AlternateContent>
      </w:r>
      <w:r w:rsidR="00187209">
        <w:t>Pouritanga primarily refers to psychological pain that ranges in intensity from general anxiety to deep, suicidal depression. The term also means darkness. Darkness is qualified in the language by the description of varying intensities including the intense darkness associated with the darkest of nights, and the various states of darkness leading to daw</w:t>
      </w:r>
      <w:r w:rsidR="008759AC">
        <w:t>n and to full daylight.</w:t>
      </w:r>
    </w:p>
    <w:p w14:paraId="33E1FC0F" w14:textId="34AE7D5B" w:rsidR="00187209" w:rsidRDefault="00187209" w:rsidP="00D67AFB">
      <w:pPr>
        <w:pStyle w:val="Heading2"/>
      </w:pPr>
      <w:r>
        <w:t xml:space="preserve">Affirming Kaupapa Maori </w:t>
      </w:r>
      <w:r w:rsidR="00D67AFB">
        <w:t>h</w:t>
      </w:r>
      <w:r>
        <w:t xml:space="preserve">ealing </w:t>
      </w:r>
      <w:r w:rsidR="00D67AFB">
        <w:t>a</w:t>
      </w:r>
      <w:r>
        <w:t>pproaches</w:t>
      </w:r>
    </w:p>
    <w:p w14:paraId="7F8F8870" w14:textId="535CD185" w:rsidR="00187209" w:rsidRDefault="00187209" w:rsidP="00187209">
      <w:r>
        <w:t>The work of the Māori Taskforce (Kruger et al., 2004) argues the need to draw on Te Ao Māori as a source of healing for contemporary issues. Grennell (2006) also advocates the need for Māori to draw upon the traditional knowledge and wisdom of our ancestors to understand the cultural impact of violence and through which to enable community and collective healing.</w:t>
      </w:r>
    </w:p>
    <w:p w14:paraId="76F5B624" w14:textId="4A89C7A1" w:rsidR="00187209" w:rsidRDefault="00187209" w:rsidP="00187209">
      <w:pPr>
        <w:rPr>
          <w:rFonts w:ascii="SabonMaori" w:hAnsi="SabonMaori"/>
          <w:szCs w:val="22"/>
        </w:rPr>
      </w:pPr>
      <w:r>
        <w:t>It is argued th</w:t>
      </w:r>
      <w:r w:rsidRPr="0011449F">
        <w:t>at healing must take place on both individual and collective levels to prevent intergenerational transmission of trauma (Brave</w:t>
      </w:r>
      <w:r>
        <w:t xml:space="preserve"> Heart, 2000; Brave Heart &amp; DeBruyn, 1998; Duran, 2006; Duran &amp; Duran, 1995). This has been articulated by many Māori providers working in the area of sexual violenc</w:t>
      </w:r>
      <w:r w:rsidR="0049030E">
        <w:t xml:space="preserve">e prevention and intervention. </w:t>
      </w:r>
      <w:r>
        <w:t xml:space="preserve">An understanding and awareness of the intergenerational impact of violence on whānau, hapū and iwi, and the subsequent manifestation of that in individual behaviours, needs to be more critically engaged with, in regard to both counselling processes and policy frameworks that determine what, and how, support is provided. These assertions are not new. As noted in the Māori Family Violence in Aotearoa  report (Balzer, 1997), when seeking to develop interventions for Māori it is necessary to ensure that there is an awareness of colonisation and that many </w:t>
      </w:r>
      <w:r w:rsidR="008759AC">
        <w:t>W</w:t>
      </w:r>
      <w:r>
        <w:t>estern intervention approaches that are not informed by such understandings prove to be inappropriate for Māori.</w:t>
      </w:r>
      <w:r>
        <w:rPr>
          <w:lang w:val="en-US"/>
        </w:rPr>
        <w:t xml:space="preserve"> </w:t>
      </w:r>
      <w:r w:rsidRPr="0011449F">
        <w:t xml:space="preserve">Wirihana and Smith (2014) note that the acknowledgement of historical trauma for Māori is necessary to </w:t>
      </w:r>
      <w:r w:rsidRPr="0011449F">
        <w:rPr>
          <w:rFonts w:ascii="SabonMaori" w:hAnsi="SabonMaori"/>
          <w:szCs w:val="22"/>
        </w:rPr>
        <w:t>“</w:t>
      </w:r>
      <w:r w:rsidRPr="0011449F">
        <w:t>facilitate individual and collective soul healing</w:t>
      </w:r>
      <w:r w:rsidR="0021755C" w:rsidRPr="0011449F">
        <w:t>.</w:t>
      </w:r>
      <w:r w:rsidRPr="0011449F">
        <w:t>”</w:t>
      </w:r>
      <w:r w:rsidRPr="003F4B89">
        <w:rPr>
          <w:rFonts w:ascii="SabonMaori" w:hAnsi="SabonMaori"/>
          <w:szCs w:val="22"/>
        </w:rPr>
        <w:t xml:space="preserve"> </w:t>
      </w:r>
    </w:p>
    <w:p w14:paraId="44BD8AF0" w14:textId="4457D097" w:rsidR="00187209" w:rsidRDefault="00187209" w:rsidP="00187209">
      <w:pPr>
        <w:rPr>
          <w:lang w:val="en-US"/>
        </w:rPr>
      </w:pPr>
      <w:r w:rsidRPr="00B55ACE">
        <w:rPr>
          <w:lang w:val="en-US"/>
        </w:rPr>
        <w:t xml:space="preserve">Cultural </w:t>
      </w:r>
      <w:r>
        <w:rPr>
          <w:lang w:val="en-US"/>
        </w:rPr>
        <w:t>connectedness</w:t>
      </w:r>
      <w:r w:rsidRPr="00B55ACE">
        <w:rPr>
          <w:lang w:val="en-US"/>
        </w:rPr>
        <w:t xml:space="preserve"> is linked </w:t>
      </w:r>
      <w:r>
        <w:rPr>
          <w:lang w:val="en-US"/>
        </w:rPr>
        <w:t>to healing and wellbeing, and Mā</w:t>
      </w:r>
      <w:r w:rsidRPr="00B55ACE">
        <w:rPr>
          <w:lang w:val="en-US"/>
        </w:rPr>
        <w:t>ori healing must be</w:t>
      </w:r>
      <w:r>
        <w:rPr>
          <w:lang w:val="en-US"/>
        </w:rPr>
        <w:t xml:space="preserve"> based on the restoration of the Mā</w:t>
      </w:r>
      <w:r w:rsidRPr="00B55ACE">
        <w:rPr>
          <w:lang w:val="en-US"/>
        </w:rPr>
        <w:t>ori cultural and healing paradigms that colonisation sought to destroy (Jackson, 1987).</w:t>
      </w:r>
      <w:r>
        <w:rPr>
          <w:lang w:val="en-US"/>
        </w:rPr>
        <w:t xml:space="preserve"> Moreover, Māori</w:t>
      </w:r>
      <w:r w:rsidRPr="00B55ACE">
        <w:rPr>
          <w:lang w:val="en-US"/>
        </w:rPr>
        <w:t xml:space="preserve"> health and healing are linked to</w:t>
      </w:r>
      <w:r>
        <w:rPr>
          <w:lang w:val="en-US"/>
        </w:rPr>
        <w:t xml:space="preserve"> self-determination (Durie, 1998</w:t>
      </w:r>
      <w:r w:rsidRPr="00B55ACE">
        <w:rPr>
          <w:lang w:val="en-US"/>
        </w:rPr>
        <w:t xml:space="preserve">). </w:t>
      </w:r>
      <w:r>
        <w:rPr>
          <w:lang w:val="en-US"/>
        </w:rPr>
        <w:t xml:space="preserve">This places ‘tino rangatiratanga’ as a critical principle for healing for Māori. This requires governments to engage in meaningful and enduring relationships based upon Te Tiriti o Waitangi in ways that affirm Māori self-determination. It is argued that this is fundamental to Kaupapa Māori approaches to healing, where te reo, tikanga and mātauranga Māori are at the centre of </w:t>
      </w:r>
      <w:r w:rsidR="008759AC">
        <w:rPr>
          <w:lang w:val="en-US"/>
        </w:rPr>
        <w:t>healing processes (Smith</w:t>
      </w:r>
      <w:r w:rsidR="0049030E">
        <w:rPr>
          <w:lang w:val="en-US"/>
        </w:rPr>
        <w:t>,</w:t>
      </w:r>
      <w:r w:rsidR="008759AC">
        <w:rPr>
          <w:lang w:val="en-US"/>
        </w:rPr>
        <w:t xml:space="preserve"> 1997).</w:t>
      </w:r>
    </w:p>
    <w:p w14:paraId="7C9C9F2F" w14:textId="6524F0DE" w:rsidR="003A6717" w:rsidRDefault="00187209" w:rsidP="005B1370">
      <w:r>
        <w:lastRenderedPageBreak/>
        <w:t xml:space="preserve">In line with the advocacy for Kaupapa Māori approaches, the whānau violence framework, advocated by the </w:t>
      </w:r>
      <w:r w:rsidR="006104D7">
        <w:rPr>
          <w:color w:val="1A1718"/>
        </w:rPr>
        <w:t>Second Māori Taskforce on W</w:t>
      </w:r>
      <w:r>
        <w:rPr>
          <w:color w:val="1A1718"/>
        </w:rPr>
        <w:t xml:space="preserve">hānau </w:t>
      </w:r>
      <w:r w:rsidR="006104D7">
        <w:rPr>
          <w:color w:val="1A1718"/>
        </w:rPr>
        <w:t>V</w:t>
      </w:r>
      <w:r>
        <w:rPr>
          <w:color w:val="1A1718"/>
        </w:rPr>
        <w:t xml:space="preserve">iolence, was considered to </w:t>
      </w:r>
      <w:r>
        <w:t xml:space="preserve">have the capacity to provide prevention and intervention in relation to whānau violence (Kruger et al., 2004). </w:t>
      </w:r>
      <w:r>
        <w:rPr>
          <w:color w:val="1A1718"/>
        </w:rPr>
        <w:t xml:space="preserve">The framework </w:t>
      </w:r>
      <w:r>
        <w:t xml:space="preserve">comprises three elements: </w:t>
      </w:r>
    </w:p>
    <w:p w14:paraId="1CA72EE9" w14:textId="7FED9484" w:rsidR="003A6717" w:rsidRDefault="00187209" w:rsidP="003A6717">
      <w:pPr>
        <w:spacing w:after="0"/>
        <w:ind w:left="720"/>
      </w:pPr>
      <w:r>
        <w:t xml:space="preserve">a) te ao Māori (the Māori world), which includes six cultural constructs – whakapapa, tikanga, wairua, tapu, mauri and mana – to be applied as practice tools; </w:t>
      </w:r>
    </w:p>
    <w:p w14:paraId="49B1D007" w14:textId="3E0F332F" w:rsidR="003A6717" w:rsidRDefault="00187209" w:rsidP="003A6717">
      <w:pPr>
        <w:spacing w:after="0"/>
        <w:ind w:left="720"/>
      </w:pPr>
      <w:r>
        <w:t xml:space="preserve">b) te ao hurihuri (contemporary realities), which describes contemporary influences that prohibit or undermine the practice of cultural constructs from te ao Māori – in particular, colonisation and its associated outcomes; and </w:t>
      </w:r>
    </w:p>
    <w:p w14:paraId="06649406" w14:textId="0BBB79C4" w:rsidR="003A6717" w:rsidRDefault="00187209" w:rsidP="0011449F">
      <w:pPr>
        <w:ind w:left="720"/>
      </w:pPr>
      <w:r>
        <w:t xml:space="preserve">c) a transformative element, which applies cultural constructs from te ao Māori and takes into account environmental and contextual interference and influences from te ao hurihuri. </w:t>
      </w:r>
    </w:p>
    <w:p w14:paraId="7C82EAAE" w14:textId="77777777" w:rsidR="009C3FA8" w:rsidRDefault="005B1370" w:rsidP="003A6717">
      <w:r>
        <w:rPr>
          <w:noProof/>
          <w:lang w:eastAsia="en-NZ"/>
        </w:rPr>
        <mc:AlternateContent>
          <mc:Choice Requires="wps">
            <w:drawing>
              <wp:anchor distT="0" distB="0" distL="114300" distR="114300" simplePos="0" relativeHeight="251669504" behindDoc="0" locked="0" layoutInCell="1" allowOverlap="1" wp14:anchorId="78D3108C" wp14:editId="4B65326B">
                <wp:simplePos x="0" y="0"/>
                <wp:positionH relativeFrom="column">
                  <wp:posOffset>4423733</wp:posOffset>
                </wp:positionH>
                <wp:positionV relativeFrom="paragraph">
                  <wp:posOffset>106320</wp:posOffset>
                </wp:positionV>
                <wp:extent cx="1828800" cy="1466215"/>
                <wp:effectExtent l="0" t="0" r="0" b="635"/>
                <wp:wrapSquare wrapText="bothSides"/>
                <wp:docPr id="203" name="Rectangle 203"/>
                <wp:cNvGraphicFramePr/>
                <a:graphic xmlns:a="http://schemas.openxmlformats.org/drawingml/2006/main">
                  <a:graphicData uri="http://schemas.microsoft.com/office/word/2010/wordprocessingShape">
                    <wps:wsp>
                      <wps:cNvSpPr/>
                      <wps:spPr>
                        <a:xfrm>
                          <a:off x="0" y="0"/>
                          <a:ext cx="1828800" cy="14662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E6136" w14:textId="74BA731E" w:rsidR="005B1370" w:rsidRPr="005B1370" w:rsidRDefault="005B1370" w:rsidP="005B1370">
                            <w:pPr>
                              <w:rPr>
                                <w:i/>
                                <w:color w:val="FFFFFF" w:themeColor="background1"/>
                              </w:rPr>
                            </w:pPr>
                            <w:r w:rsidRPr="005B1370">
                              <w:rPr>
                                <w:i/>
                              </w:rPr>
                              <w:t>A clear intersectional approach is needed that is grounded upon Kaupapa Māori approaches</w:t>
                            </w:r>
                            <w:r w:rsidR="009C3FA8">
                              <w:rPr>
                                <w:i/>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D3108C" id="Rectangle 203" o:spid="_x0000_s1030" style="position:absolute;margin-left:348.35pt;margin-top:8.35pt;width:2in;height:11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" fillcolor="#5b9bd5 [3204]" stroked="f" strokeweight="1pt">
                <v:textbox inset=",14.4pt,8.64pt,18pt">
                  <w:txbxContent>
                    <w:p w14:paraId="59FE6136" w14:textId="74BA731E" w:rsidR="005B1370" w:rsidRPr="005B1370" w:rsidRDefault="005B1370" w:rsidP="005B1370">
                      <w:pPr>
                        <w:rPr>
                          <w:i/>
                          <w:color w:val="FFFFFF" w:themeColor="background1"/>
                        </w:rPr>
                      </w:pPr>
                      <w:r w:rsidRPr="005B1370">
                        <w:rPr>
                          <w:i/>
                        </w:rPr>
                        <w:t xml:space="preserve">A clear intersectional approach is needed that is grounded upon </w:t>
                      </w:r>
                      <w:proofErr w:type="spellStart"/>
                      <w:r w:rsidRPr="005B1370">
                        <w:rPr>
                          <w:i/>
                        </w:rPr>
                        <w:t>Kaupapa</w:t>
                      </w:r>
                      <w:proofErr w:type="spellEnd"/>
                      <w:r w:rsidRPr="005B1370">
                        <w:rPr>
                          <w:i/>
                        </w:rPr>
                        <w:t xml:space="preserve"> Māori approaches</w:t>
                      </w:r>
                      <w:r w:rsidR="009C3FA8">
                        <w:rPr>
                          <w:i/>
                        </w:rPr>
                        <w:t>.</w:t>
                      </w:r>
                    </w:p>
                  </w:txbxContent>
                </v:textbox>
                <w10:wrap type="square"/>
              </v:rect>
            </w:pict>
          </mc:Fallback>
        </mc:AlternateContent>
      </w:r>
      <w:r w:rsidR="00187209">
        <w:t>Within this framework, the authors note it is crucial that Māori practitioners have the ability to critically analyse the impacts and outcomes of colonisation (Kruger et al., 2004). Decolonisation is also multi-layered. Dealing with issues of systemic and institution</w:t>
      </w:r>
      <w:r w:rsidR="00A05B0E">
        <w:t>al</w:t>
      </w:r>
      <w:r w:rsidR="00187209">
        <w:t xml:space="preserve"> racism and underlying deficit understandings</w:t>
      </w:r>
      <w:r w:rsidR="00A05B0E">
        <w:t xml:space="preserve"> and assumptions is essential. </w:t>
      </w:r>
      <w:r w:rsidR="00187209">
        <w:t xml:space="preserve">Developing deeper understandings about the impact of colonisation is critical to providing knowledge about what constitutes healthy relationships, as a mechanism for the prevention of and intervention in whānau violence. </w:t>
      </w:r>
    </w:p>
    <w:p w14:paraId="098DC5FE" w14:textId="2E869806" w:rsidR="00187209" w:rsidRDefault="00187209" w:rsidP="003A6717">
      <w:r>
        <w:t>Other models of healing including Te Whare Tapa Wha (Durie</w:t>
      </w:r>
      <w:r w:rsidR="00A05B0E">
        <w:t>,</w:t>
      </w:r>
      <w:r>
        <w:t xml:space="preserve"> 2001); Te Wheke (Pere</w:t>
      </w:r>
      <w:r w:rsidR="00A05B0E">
        <w:t>, 1988); and Ā</w:t>
      </w:r>
      <w:r>
        <w:t>t</w:t>
      </w:r>
      <w:r w:rsidR="00A05B0E">
        <w:t>a</w:t>
      </w:r>
      <w:r>
        <w:t xml:space="preserve"> (Pohatu</w:t>
      </w:r>
      <w:r w:rsidR="00A05B0E">
        <w:t>,</w:t>
      </w:r>
      <w:r>
        <w:t xml:space="preserve"> 2004) are considered to provide Māori understandings of healing within which all of the tikanga elements are seen as interconnected in order to restore and maintain balance. The need to be reflective as a process of enhancing notions of restoration and balance is a critical component to the strengthening of relationships (Lipsham</w:t>
      </w:r>
      <w:r w:rsidR="00A05B0E">
        <w:t>,</w:t>
      </w:r>
      <w:r>
        <w:t xml:space="preserve"> 2012). It is clear within the work of Kruger et</w:t>
      </w:r>
      <w:r w:rsidR="008759AC">
        <w:t xml:space="preserve"> </w:t>
      </w:r>
      <w:r>
        <w:t>al</w:t>
      </w:r>
      <w:r w:rsidR="008759AC">
        <w:t>.</w:t>
      </w:r>
      <w:r>
        <w:t xml:space="preserve"> (20</w:t>
      </w:r>
      <w:r w:rsidR="005B1370">
        <w:t>0</w:t>
      </w:r>
      <w:r>
        <w:t>4) that healing from whānau violence must centre Māori people, tino rangatiratanga, kaupapa Māori, te reo, tikanga a</w:t>
      </w:r>
      <w:r w:rsidR="008759AC">
        <w:t xml:space="preserve">nd mātauranga as the solution. </w:t>
      </w:r>
      <w:r>
        <w:t xml:space="preserve">Each of these elements indicate there must be systemic change across all sectors in order to remove the institutional impacts of racism, sexism and classism in their multiple forms and the ways in which they directly affect Māori. </w:t>
      </w:r>
      <w:r w:rsidR="005B1370" w:rsidRPr="005B1370">
        <w:t>A clear intersectional approach is needed that is grounded upon Kaupapa Māori approaches.</w:t>
      </w:r>
      <w:r w:rsidR="005B1370">
        <w:t xml:space="preserve"> </w:t>
      </w:r>
      <w:r>
        <w:t xml:space="preserve">An overarching conclusion is that within tikanga and mātauranga Māori we have all the knowledge we need to create transformative change, and that at all levels of  individual and collective wellbeing, ancestral knowledge is the key to a healthy and sustainable pathway forward for whānau, hapū, iwi and Māori communities. </w:t>
      </w:r>
    </w:p>
    <w:p w14:paraId="1EF14FF5" w14:textId="508EAC32" w:rsidR="00187209" w:rsidRDefault="00187209" w:rsidP="00D67AFB">
      <w:pPr>
        <w:pStyle w:val="Heading2"/>
      </w:pPr>
      <w:r>
        <w:lastRenderedPageBreak/>
        <w:t xml:space="preserve">Some thoughts on </w:t>
      </w:r>
      <w:r w:rsidR="0021755C">
        <w:t>f</w:t>
      </w:r>
      <w:r>
        <w:t xml:space="preserve">urther </w:t>
      </w:r>
      <w:r w:rsidR="0021755C">
        <w:t>w</w:t>
      </w:r>
      <w:r>
        <w:t>ork</w:t>
      </w:r>
    </w:p>
    <w:p w14:paraId="36875E9F" w14:textId="0C70E7B6" w:rsidR="00187209" w:rsidRPr="0011449F" w:rsidRDefault="009C3FA8" w:rsidP="00187209">
      <w:r>
        <w:rPr>
          <w:noProof/>
          <w:lang w:eastAsia="en-NZ"/>
        </w:rPr>
        <mc:AlternateContent>
          <mc:Choice Requires="wps">
            <w:drawing>
              <wp:anchor distT="0" distB="0" distL="114300" distR="114300" simplePos="0" relativeHeight="251666432" behindDoc="0" locked="0" layoutInCell="1" allowOverlap="1" wp14:anchorId="34918A31" wp14:editId="49F040C8">
                <wp:simplePos x="0" y="0"/>
                <wp:positionH relativeFrom="margin">
                  <wp:align>right</wp:align>
                </wp:positionH>
                <wp:positionV relativeFrom="paragraph">
                  <wp:posOffset>5080</wp:posOffset>
                </wp:positionV>
                <wp:extent cx="1828800" cy="3312160"/>
                <wp:effectExtent l="0" t="0" r="0" b="2540"/>
                <wp:wrapSquare wrapText="bothSides"/>
                <wp:docPr id="21" name="Rectangle 21"/>
                <wp:cNvGraphicFramePr/>
                <a:graphic xmlns:a="http://schemas.openxmlformats.org/drawingml/2006/main">
                  <a:graphicData uri="http://schemas.microsoft.com/office/word/2010/wordprocessingShape">
                    <wps:wsp>
                      <wps:cNvSpPr/>
                      <wps:spPr>
                        <a:xfrm>
                          <a:off x="0" y="0"/>
                          <a:ext cx="1828800" cy="3312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369DB" w14:textId="556AF252" w:rsidR="0011449F" w:rsidRPr="0011449F" w:rsidRDefault="0011449F" w:rsidP="009C3FA8">
                            <w:pPr>
                              <w:spacing w:line="336" w:lineRule="auto"/>
                              <w:rPr>
                                <w:i/>
                              </w:rPr>
                            </w:pPr>
                            <w:r w:rsidRPr="0011449F">
                              <w:rPr>
                                <w:i/>
                              </w:rPr>
                              <w:t>It has been argued that Western frameworks of trauma informed care that do not have an understanding and analysis of collective trauma and its impacts on Māori will not provide for the healing pathways that are needed in regards to family violence (Pihama et al., 2017).</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918A31" id="Rectangle 21" o:spid="_x0000_s1031" style="position:absolute;margin-left:92.8pt;margin-top:.4pt;width:2in;height:260.8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" fillcolor="#5b9bd5 [3204]" stroked="f" strokeweight="1pt">
                <v:textbox inset=",14.4pt,8.64pt,18pt">
                  <w:txbxContent>
                    <w:p w14:paraId="6F2369DB" w14:textId="556AF252" w:rsidR="0011449F" w:rsidRPr="0011449F" w:rsidRDefault="0011449F" w:rsidP="009C3FA8">
                      <w:pPr>
                        <w:spacing w:line="336" w:lineRule="auto"/>
                        <w:rPr>
                          <w:i/>
                        </w:rPr>
                      </w:pPr>
                      <w:r w:rsidRPr="0011449F">
                        <w:rPr>
                          <w:i/>
                        </w:rPr>
                        <w:t>It has been argued that Western frameworks of trauma informed care that do not have an understanding and analysis of collective trauma and its impacts on Māori will not provide for the healing pathways that are needed in regards to family violence (Pihama et al., 2017).</w:t>
                      </w:r>
                    </w:p>
                  </w:txbxContent>
                </v:textbox>
                <w10:wrap type="square" anchorx="margin"/>
              </v:rect>
            </w:pict>
          </mc:Fallback>
        </mc:AlternateContent>
      </w:r>
      <w:r w:rsidR="00187209">
        <w:t xml:space="preserve">Over the past </w:t>
      </w:r>
      <w:r w:rsidR="008759AC">
        <w:t xml:space="preserve">ten </w:t>
      </w:r>
      <w:r w:rsidR="00187209">
        <w:t xml:space="preserve">years we have seen an increase in the use of </w:t>
      </w:r>
      <w:r w:rsidR="0021755C">
        <w:t>h</w:t>
      </w:r>
      <w:r w:rsidR="00187209">
        <w:t xml:space="preserve">istorical </w:t>
      </w:r>
      <w:r w:rsidR="0021755C">
        <w:t>t</w:t>
      </w:r>
      <w:r w:rsidR="00187209">
        <w:t xml:space="preserve">rauma theory alongside Kaupapa Māori theory and practice as a means by which to further understand the collective impact of trauma from colonisation upon Māori and Indigenous </w:t>
      </w:r>
      <w:r w:rsidR="008759AC">
        <w:t>p</w:t>
      </w:r>
      <w:r w:rsidR="00187209">
        <w:t xml:space="preserve">eoples. </w:t>
      </w:r>
      <w:r w:rsidR="00187209" w:rsidRPr="0011449F">
        <w:t>In the curren</w:t>
      </w:r>
      <w:r w:rsidR="00EA05C8" w:rsidRPr="0011449F">
        <w:t>t context where frameworks of ‘t</w:t>
      </w:r>
      <w:r w:rsidR="00187209" w:rsidRPr="0011449F">
        <w:t xml:space="preserve">rauma </w:t>
      </w:r>
      <w:r w:rsidR="00EA05C8" w:rsidRPr="0011449F">
        <w:t>i</w:t>
      </w:r>
      <w:r w:rsidR="00187209" w:rsidRPr="0011449F">
        <w:t xml:space="preserve">nformed </w:t>
      </w:r>
      <w:r w:rsidR="00EA05C8" w:rsidRPr="0011449F">
        <w:t>c</w:t>
      </w:r>
      <w:r w:rsidR="00187209" w:rsidRPr="0011449F">
        <w:t xml:space="preserve">are’ are being implemented across a range of sites it is critical that both Kaupapa Māori and </w:t>
      </w:r>
      <w:r w:rsidR="0021755C" w:rsidRPr="0011449F">
        <w:t>h</w:t>
      </w:r>
      <w:r w:rsidR="00187209" w:rsidRPr="0011449F">
        <w:t xml:space="preserve">istorical </w:t>
      </w:r>
      <w:r w:rsidR="0021755C" w:rsidRPr="0011449F">
        <w:t>t</w:t>
      </w:r>
      <w:r w:rsidR="00187209" w:rsidRPr="0011449F">
        <w:t>rauma approaches be central to such developments within Aotear</w:t>
      </w:r>
      <w:r w:rsidR="0021755C" w:rsidRPr="0011449F">
        <w:t>oa.</w:t>
      </w:r>
    </w:p>
    <w:p w14:paraId="0245D661" w14:textId="4887EEE8" w:rsidR="00187209" w:rsidRDefault="00187209" w:rsidP="00187209">
      <w:r w:rsidRPr="0011449F">
        <w:t xml:space="preserve">As a </w:t>
      </w:r>
      <w:r w:rsidR="0021755C" w:rsidRPr="0011449F">
        <w:t>n</w:t>
      </w:r>
      <w:r w:rsidRPr="0011449F">
        <w:t xml:space="preserve">ational </w:t>
      </w:r>
      <w:r w:rsidR="0021755C" w:rsidRPr="0011449F">
        <w:t>s</w:t>
      </w:r>
      <w:r w:rsidRPr="0011449F">
        <w:t xml:space="preserve">trategy on </w:t>
      </w:r>
      <w:r w:rsidR="0021755C" w:rsidRPr="0011449F">
        <w:t>f</w:t>
      </w:r>
      <w:r w:rsidRPr="0011449F">
        <w:t xml:space="preserve">amily and </w:t>
      </w:r>
      <w:r w:rsidR="0021755C" w:rsidRPr="0011449F">
        <w:t>s</w:t>
      </w:r>
      <w:r w:rsidRPr="0011449F">
        <w:t xml:space="preserve">exual </w:t>
      </w:r>
      <w:r w:rsidR="0021755C" w:rsidRPr="0011449F">
        <w:t>v</w:t>
      </w:r>
      <w:r w:rsidRPr="0011449F">
        <w:t>iolence is being developed it is critical that these forms of analysis and practice are foundational to that development.</w:t>
      </w:r>
      <w:r>
        <w:t xml:space="preserve"> One of the issues articulated by Māori whanau and </w:t>
      </w:r>
      <w:r w:rsidR="008759AC">
        <w:t>p</w:t>
      </w:r>
      <w:r>
        <w:t xml:space="preserve">ractitioners in the ‘He Kokonga Whare’ project was the need for frameworks of healing trauma to be grounded upon tikanga and mātauranga Māori, and to ensure that the impact of colonisation is understood. These issues require further engagement across all sectors dealing with the impacts of historical and intergenerational trauma. </w:t>
      </w:r>
    </w:p>
    <w:p w14:paraId="7DF3B0BE" w14:textId="2FEA5F20" w:rsidR="00187209" w:rsidRDefault="00187209" w:rsidP="00187209">
      <w:r w:rsidRPr="004B02AC">
        <w:t xml:space="preserve">It has been argued that </w:t>
      </w:r>
      <w:r w:rsidR="008759AC" w:rsidRPr="004B02AC">
        <w:t>W</w:t>
      </w:r>
      <w:r w:rsidRPr="004B02AC">
        <w:t xml:space="preserve">estern frameworks of </w:t>
      </w:r>
      <w:r w:rsidR="0021755C" w:rsidRPr="004B02AC">
        <w:t>t</w:t>
      </w:r>
      <w:r w:rsidRPr="004B02AC">
        <w:t xml:space="preserve">rauma </w:t>
      </w:r>
      <w:r w:rsidR="0021755C" w:rsidRPr="004B02AC">
        <w:t>i</w:t>
      </w:r>
      <w:r w:rsidRPr="004B02AC">
        <w:t xml:space="preserve">nformed care that do not have an understanding and analysis of collective trauma and its impacts on Māori will not provide for the healing pathways that are needed in regards to </w:t>
      </w:r>
      <w:r w:rsidR="0021755C" w:rsidRPr="004B02AC">
        <w:t>f</w:t>
      </w:r>
      <w:r w:rsidRPr="004B02AC">
        <w:t>amily violence (Piham</w:t>
      </w:r>
      <w:r>
        <w:t>a et</w:t>
      </w:r>
      <w:r w:rsidR="008759AC">
        <w:t xml:space="preserve"> </w:t>
      </w:r>
      <w:r>
        <w:t>al</w:t>
      </w:r>
      <w:r w:rsidR="008759AC">
        <w:t>.,</w:t>
      </w:r>
      <w:r>
        <w:t xml:space="preserve"> 2017)</w:t>
      </w:r>
      <w:r w:rsidR="0021755C">
        <w:t>.</w:t>
      </w:r>
      <w:r>
        <w:t xml:space="preserve"> As such there is a need for further research and development to be done that will support </w:t>
      </w:r>
      <w:r w:rsidR="0021755C">
        <w:t>work</w:t>
      </w:r>
      <w:r>
        <w:t xml:space="preserve">force development in the area of Kaupapa Māori </w:t>
      </w:r>
      <w:r w:rsidR="006A1407">
        <w:t xml:space="preserve">service </w:t>
      </w:r>
      <w:r>
        <w:t xml:space="preserve">provision, </w:t>
      </w:r>
      <w:r w:rsidR="0021755C">
        <w:t>h</w:t>
      </w:r>
      <w:r>
        <w:t xml:space="preserve">istorical </w:t>
      </w:r>
      <w:r w:rsidR="0021755C">
        <w:t>t</w:t>
      </w:r>
      <w:r>
        <w:t>rauma theory and support their application in the social services.</w:t>
      </w:r>
    </w:p>
    <w:p w14:paraId="3C6A9E60" w14:textId="7D57AF1B" w:rsidR="00187209" w:rsidRDefault="00187209" w:rsidP="00187209">
      <w:r>
        <w:t xml:space="preserve">Both Kaupapa Māori and </w:t>
      </w:r>
      <w:r w:rsidR="0021755C">
        <w:t>h</w:t>
      </w:r>
      <w:r>
        <w:t xml:space="preserve">istorical </w:t>
      </w:r>
      <w:r w:rsidR="0021755C">
        <w:t>t</w:t>
      </w:r>
      <w:r>
        <w:t>rauma theory call on a collective approach to healing collective trauma and its impacts. This then requires government to move away from a silo</w:t>
      </w:r>
      <w:r w:rsidR="00D13316">
        <w:t>ed</w:t>
      </w:r>
      <w:r>
        <w:t xml:space="preserve"> approach to health and wellbeing to one that is more able to provide across agencies in ways that mitigate the impact of collective trauma on all levels: cultural; political; economic; social and spiritual. For Māori this means a commitment by the government to meaningful Treaty relationships that work to create transformative change at societal and community levels where the needs of Māori are at the centre of future policy and strategic developments such as the </w:t>
      </w:r>
      <w:r w:rsidR="0021755C">
        <w:t>n</w:t>
      </w:r>
      <w:r>
        <w:t xml:space="preserve">ational </w:t>
      </w:r>
      <w:r w:rsidR="0021755C">
        <w:t>s</w:t>
      </w:r>
      <w:r>
        <w:t xml:space="preserve">trategy of </w:t>
      </w:r>
      <w:r w:rsidR="0021755C">
        <w:t>f</w:t>
      </w:r>
      <w:r>
        <w:t xml:space="preserve">amily and </w:t>
      </w:r>
      <w:r w:rsidR="0021755C">
        <w:t>s</w:t>
      </w:r>
      <w:r>
        <w:t xml:space="preserve">exual </w:t>
      </w:r>
      <w:r w:rsidR="0021755C">
        <w:t>v</w:t>
      </w:r>
      <w:r>
        <w:t xml:space="preserve">iolence. It also requires an approach that locates whānau, hapū, iwi, Māori organisations, te reo, tikanga and mātauranga Māori as critical to developing long term solutions that support collective healing and wellbeing. </w:t>
      </w:r>
    </w:p>
    <w:p w14:paraId="591D5379" w14:textId="77777777" w:rsidR="00187209" w:rsidRDefault="00187209" w:rsidP="00187209">
      <w:pPr>
        <w:pStyle w:val="Heading1"/>
        <w:numPr>
          <w:ilvl w:val="0"/>
          <w:numId w:val="0"/>
        </w:numPr>
      </w:pPr>
      <w:r>
        <w:rPr>
          <w:lang w:val="mi-NZ"/>
        </w:rPr>
        <w:br w:type="page"/>
      </w:r>
      <w:r>
        <w:rPr>
          <w:lang w:val="mi-NZ"/>
        </w:rPr>
        <w:lastRenderedPageBreak/>
        <w:t>References</w:t>
      </w:r>
    </w:p>
    <w:p w14:paraId="55183B12" w14:textId="4CCED288" w:rsidR="00187209" w:rsidRDefault="00187209" w:rsidP="00187209">
      <w:r>
        <w:t xml:space="preserve">Atkinson, J. (2002). </w:t>
      </w:r>
      <w:r w:rsidRPr="00132B37">
        <w:rPr>
          <w:i/>
        </w:rPr>
        <w:t>Trauma Trails – recreating songlines: the transgenerational effects of trauma in Indigenous Australia.</w:t>
      </w:r>
      <w:r w:rsidR="00595D2C">
        <w:t xml:space="preserve"> North Melbourne, Vic</w:t>
      </w:r>
      <w:r>
        <w:t>: Spinifex Press.</w:t>
      </w:r>
    </w:p>
    <w:p w14:paraId="1D9F13E2" w14:textId="00F6D5FB" w:rsidR="00187209" w:rsidRDefault="00187209" w:rsidP="00187209">
      <w:r>
        <w:t>Balzer et al. (1997).</w:t>
      </w:r>
      <w:r w:rsidRPr="0052001D">
        <w:rPr>
          <w:i/>
        </w:rPr>
        <w:t xml:space="preserve"> </w:t>
      </w:r>
      <w:r w:rsidRPr="007A45DB">
        <w:rPr>
          <w:i/>
        </w:rPr>
        <w:t>Māori family violence in Aotearoa.</w:t>
      </w:r>
      <w:r>
        <w:t xml:space="preserve"> Ministry of Mā</w:t>
      </w:r>
      <w:r w:rsidRPr="00C86445">
        <w:t>ori Development &amp; Hamilton Abuse Intervention P</w:t>
      </w:r>
      <w:r w:rsidR="00595D2C">
        <w:t>ilot Project</w:t>
      </w:r>
      <w:r>
        <w:t>. Wellington, New Zealand: Te Puni Kō</w:t>
      </w:r>
      <w:r w:rsidRPr="00C86445">
        <w:t>kiri.</w:t>
      </w:r>
    </w:p>
    <w:p w14:paraId="7ACA7F9E" w14:textId="77777777" w:rsidR="00187209" w:rsidRDefault="00187209" w:rsidP="00187209">
      <w:r w:rsidRPr="005244B1">
        <w:t xml:space="preserve">Brave Heart, M. Y. H., &amp; DeBruyn, L. M. (1998). The American Indian holocaust: Healing historical unresolved grief. </w:t>
      </w:r>
      <w:r w:rsidRPr="005244B1">
        <w:rPr>
          <w:i/>
        </w:rPr>
        <w:t>American Indian and Alaska Native Mental Health Research Journal</w:t>
      </w:r>
      <w:r w:rsidRPr="005244B1">
        <w:t xml:space="preserve">, </w:t>
      </w:r>
      <w:r w:rsidRPr="005244B1">
        <w:rPr>
          <w:i/>
        </w:rPr>
        <w:t>8</w:t>
      </w:r>
      <w:r w:rsidRPr="005244B1">
        <w:t xml:space="preserve">(2), 56–78. </w:t>
      </w:r>
    </w:p>
    <w:p w14:paraId="458ECB48" w14:textId="77777777" w:rsidR="00187209" w:rsidRDefault="00187209" w:rsidP="00187209">
      <w:r>
        <w:t>Brave Heart,</w:t>
      </w:r>
      <w:r w:rsidRPr="0052001D">
        <w:t xml:space="preserve"> </w:t>
      </w:r>
      <w:r w:rsidRPr="005244B1">
        <w:t xml:space="preserve">M. Y. H. </w:t>
      </w:r>
      <w:r>
        <w:t xml:space="preserve"> (1999).</w:t>
      </w:r>
      <w:r w:rsidRPr="0052001D">
        <w:t xml:space="preserve"> </w:t>
      </w:r>
      <w:r w:rsidRPr="005244B1">
        <w:t xml:space="preserve">Gender differences in the historical trauma response among the Lakota. </w:t>
      </w:r>
      <w:r w:rsidRPr="005244B1">
        <w:rPr>
          <w:i/>
        </w:rPr>
        <w:t>Journal of Health &amp; Social Policy</w:t>
      </w:r>
      <w:r w:rsidRPr="005244B1">
        <w:t xml:space="preserve">, </w:t>
      </w:r>
      <w:r w:rsidRPr="005244B1">
        <w:rPr>
          <w:i/>
        </w:rPr>
        <w:t>10</w:t>
      </w:r>
      <w:r w:rsidRPr="005244B1">
        <w:t>(4), 1–21.</w:t>
      </w:r>
    </w:p>
    <w:p w14:paraId="12195ECD" w14:textId="77777777" w:rsidR="00187209" w:rsidRDefault="00187209" w:rsidP="00187209">
      <w:r w:rsidRPr="00862F5C">
        <w:t>Brave Heart</w:t>
      </w:r>
      <w:r w:rsidRPr="005244B1">
        <w:t xml:space="preserve">, M. Y. H. (2000). Wakiksuyapi: Carrying the historical trauma of the Lakota. </w:t>
      </w:r>
      <w:r w:rsidRPr="005244B1">
        <w:rPr>
          <w:i/>
        </w:rPr>
        <w:t>Tulane Studies in Social Welfare</w:t>
      </w:r>
      <w:r w:rsidRPr="005244B1">
        <w:t xml:space="preserve">, </w:t>
      </w:r>
      <w:r w:rsidRPr="005244B1">
        <w:rPr>
          <w:i/>
        </w:rPr>
        <w:t>21–22</w:t>
      </w:r>
      <w:r w:rsidRPr="005244B1">
        <w:t xml:space="preserve">, 245–266. </w:t>
      </w:r>
    </w:p>
    <w:p w14:paraId="01B36037" w14:textId="77777777" w:rsidR="00187209" w:rsidRDefault="00187209" w:rsidP="00187209">
      <w:r w:rsidRPr="005244B1">
        <w:t>Drinn</w:t>
      </w:r>
      <w:r>
        <w:t>o</w:t>
      </w:r>
      <w:r w:rsidRPr="005244B1">
        <w:t xml:space="preserve">n, R. (1987). </w:t>
      </w:r>
      <w:r w:rsidRPr="005244B1">
        <w:rPr>
          <w:i/>
        </w:rPr>
        <w:t>Keeper of concentration camps: Dillion S. Myer and American racism</w:t>
      </w:r>
      <w:r w:rsidRPr="005244B1">
        <w:t xml:space="preserve">. Berkeley, CA: University of California Press. </w:t>
      </w:r>
    </w:p>
    <w:p w14:paraId="597ED74D" w14:textId="77777777" w:rsidR="00187209" w:rsidRDefault="00187209" w:rsidP="00187209">
      <w:r w:rsidRPr="005244B1">
        <w:t xml:space="preserve">Duran, E., &amp; Duran, B. (1995). </w:t>
      </w:r>
      <w:r w:rsidRPr="005244B1">
        <w:rPr>
          <w:i/>
        </w:rPr>
        <w:t>Native American postcolonial psychology</w:t>
      </w:r>
      <w:r w:rsidRPr="005244B1">
        <w:t xml:space="preserve">. Albany, NY: State University of New York Press. </w:t>
      </w:r>
    </w:p>
    <w:p w14:paraId="72167D17" w14:textId="77777777" w:rsidR="00187209" w:rsidRDefault="00187209" w:rsidP="00187209">
      <w:r w:rsidRPr="005244B1">
        <w:t xml:space="preserve">Duran, E. (2006). Healing the soul wound: Counseling with American Indians and other Native peoples. New York, NY: Teachers College Press. </w:t>
      </w:r>
    </w:p>
    <w:p w14:paraId="63C9BD36" w14:textId="027A7724" w:rsidR="00187209" w:rsidRDefault="00187209" w:rsidP="00187209">
      <w:pPr>
        <w:spacing w:line="240" w:lineRule="auto"/>
        <w:rPr>
          <w:rFonts w:ascii="Times" w:hAnsi="Times"/>
          <w:sz w:val="20"/>
          <w:szCs w:val="20"/>
        </w:rPr>
      </w:pPr>
      <w:r w:rsidRPr="00862F5C">
        <w:rPr>
          <w:lang w:val="en-US"/>
        </w:rPr>
        <w:t>Durie,</w:t>
      </w:r>
      <w:r>
        <w:rPr>
          <w:lang w:val="en-US"/>
        </w:rPr>
        <w:t xml:space="preserve"> M. H.</w:t>
      </w:r>
      <w:r w:rsidRPr="00112AD0">
        <w:rPr>
          <w:lang w:val="en-US"/>
        </w:rPr>
        <w:t xml:space="preserve"> </w:t>
      </w:r>
      <w:r>
        <w:rPr>
          <w:lang w:val="en-US"/>
        </w:rPr>
        <w:t>(</w:t>
      </w:r>
      <w:r w:rsidRPr="00112AD0">
        <w:rPr>
          <w:lang w:val="en-US"/>
        </w:rPr>
        <w:t>1994</w:t>
      </w:r>
      <w:r>
        <w:rPr>
          <w:lang w:val="en-US"/>
        </w:rPr>
        <w:t xml:space="preserve">). </w:t>
      </w:r>
      <w:r w:rsidRPr="00F32979">
        <w:rPr>
          <w:i/>
          <w:lang w:val="en-US"/>
        </w:rPr>
        <w:t>Whaiora: Māori Health Development</w:t>
      </w:r>
      <w:r>
        <w:rPr>
          <w:lang w:val="en-US"/>
        </w:rPr>
        <w:t>. Auckland, New Zealand: Oxford University Press.</w:t>
      </w:r>
    </w:p>
    <w:p w14:paraId="4D6CA326" w14:textId="5CB9032B" w:rsidR="00187209" w:rsidRDefault="00187209" w:rsidP="00187209">
      <w:r>
        <w:t xml:space="preserve">Durie, M. </w:t>
      </w:r>
      <w:r w:rsidRPr="005244B1">
        <w:t xml:space="preserve">H. (1998). </w:t>
      </w:r>
      <w:r w:rsidRPr="005244B1">
        <w:rPr>
          <w:i/>
        </w:rPr>
        <w:t>Te mana, te kāwanatanga</w:t>
      </w:r>
      <w:r w:rsidR="00FE2196">
        <w:rPr>
          <w:i/>
        </w:rPr>
        <w:t>:</w:t>
      </w:r>
      <w:r w:rsidRPr="005244B1">
        <w:rPr>
          <w:i/>
        </w:rPr>
        <w:t xml:space="preserve"> The politics of Māori self-determination</w:t>
      </w:r>
      <w:r>
        <w:t xml:space="preserve"> (pp. 54–55)</w:t>
      </w:r>
      <w:r w:rsidRPr="005244B1">
        <w:t>. Auckland</w:t>
      </w:r>
      <w:r>
        <w:t>, New Zealand</w:t>
      </w:r>
      <w:r w:rsidRPr="005244B1">
        <w:t xml:space="preserve">: Oxford University Press. </w:t>
      </w:r>
    </w:p>
    <w:p w14:paraId="5BBBBD2C" w14:textId="77777777" w:rsidR="00187209" w:rsidRDefault="00187209" w:rsidP="00187209">
      <w:r>
        <w:t>Durie, M. H.</w:t>
      </w:r>
      <w:r w:rsidRPr="005244B1">
        <w:t xml:space="preserve"> (2001). </w:t>
      </w:r>
      <w:r w:rsidRPr="005244B1">
        <w:rPr>
          <w:i/>
        </w:rPr>
        <w:t>Mauri Ora: The Dynamics of Mäori Health</w:t>
      </w:r>
      <w:r w:rsidRPr="005244B1">
        <w:t>. Auckland</w:t>
      </w:r>
      <w:r>
        <w:t>, New Zealand</w:t>
      </w:r>
      <w:r w:rsidRPr="005244B1">
        <w:t>: Oxford University Press.</w:t>
      </w:r>
    </w:p>
    <w:p w14:paraId="4C552F0E" w14:textId="77777777" w:rsidR="00187209" w:rsidRDefault="00187209" w:rsidP="00187209">
      <w:r w:rsidRPr="005244B1">
        <w:t xml:space="preserve">Evans-Campbell, T. (2008). Historical trauma in American Indian/Native Alaska communities: A multilevel framework for exploring impacts on individuals, families, and communities. </w:t>
      </w:r>
      <w:r w:rsidRPr="005244B1">
        <w:rPr>
          <w:i/>
        </w:rPr>
        <w:t>Journal of Interpersonal Violence</w:t>
      </w:r>
      <w:r w:rsidRPr="005244B1">
        <w:t xml:space="preserve">, </w:t>
      </w:r>
      <w:r w:rsidRPr="005244B1">
        <w:rPr>
          <w:i/>
        </w:rPr>
        <w:t>23</w:t>
      </w:r>
      <w:r>
        <w:t>(3)</w:t>
      </w:r>
      <w:r w:rsidRPr="005244B1">
        <w:t xml:space="preserve">, 316–338. </w:t>
      </w:r>
    </w:p>
    <w:p w14:paraId="7AFAFF67" w14:textId="6C4BD905" w:rsidR="00187209" w:rsidRDefault="00187209" w:rsidP="00187209">
      <w:pPr>
        <w:rPr>
          <w:color w:val="333333"/>
        </w:rPr>
      </w:pPr>
      <w:r>
        <w:rPr>
          <w:color w:val="333333"/>
        </w:rPr>
        <w:t xml:space="preserve">Gable, K. (2013).  </w:t>
      </w:r>
      <w:r>
        <w:rPr>
          <w:i/>
          <w:color w:val="333333"/>
        </w:rPr>
        <w:t>Poipoia te tamaiki ki te ūkaipō</w:t>
      </w:r>
      <w:r w:rsidR="000569ED">
        <w:rPr>
          <w:color w:val="333333"/>
        </w:rPr>
        <w:t xml:space="preserve">. </w:t>
      </w:r>
      <w:r>
        <w:rPr>
          <w:color w:val="333333"/>
        </w:rPr>
        <w:t>Unpublished doctoral dissertation</w:t>
      </w:r>
      <w:r w:rsidR="000569ED">
        <w:rPr>
          <w:color w:val="333333"/>
        </w:rPr>
        <w:t>,</w:t>
      </w:r>
      <w:r>
        <w:rPr>
          <w:color w:val="333333"/>
        </w:rPr>
        <w:t xml:space="preserve"> University of Waikato, Hamilton, New Zealand.</w:t>
      </w:r>
    </w:p>
    <w:p w14:paraId="0A251206" w14:textId="77777777" w:rsidR="00187209" w:rsidRDefault="00187209" w:rsidP="00187209">
      <w:r w:rsidRPr="005244B1">
        <w:lastRenderedPageBreak/>
        <w:t xml:space="preserve">Gagne, M. A. (1998). The role of dependency and colonialism in generating trauma in First Nations citizens: The James Bay Cree. In Y. Danieli (Ed.), </w:t>
      </w:r>
      <w:r w:rsidRPr="005244B1">
        <w:rPr>
          <w:i/>
        </w:rPr>
        <w:t>The international handbook of multigenerational legacies of trauma</w:t>
      </w:r>
      <w:r>
        <w:rPr>
          <w:i/>
        </w:rPr>
        <w:t xml:space="preserve"> </w:t>
      </w:r>
      <w:r w:rsidRPr="005244B1">
        <w:t xml:space="preserve"> (pp. 355–372). New York, NY: Plenum Press.</w:t>
      </w:r>
    </w:p>
    <w:p w14:paraId="4B31308B" w14:textId="77777777" w:rsidR="00187209" w:rsidRDefault="00187209" w:rsidP="00187209">
      <w:r w:rsidRPr="005244B1">
        <w:t>Grennell, D. (2006</w:t>
      </w:r>
      <w:r>
        <w:t>, February</w:t>
      </w:r>
      <w:r w:rsidRPr="005244B1">
        <w:t xml:space="preserve">). </w:t>
      </w:r>
      <w:r w:rsidRPr="00A62E43">
        <w:rPr>
          <w:i/>
        </w:rPr>
        <w:t>Amokura – indigenous innovation.</w:t>
      </w:r>
      <w:r w:rsidRPr="005244B1">
        <w:t xml:space="preserve"> Paper presented at the 10th Australasian Conference on Child Abuse and Neglect (ACCAN), 14-16 February 2006, Wellington.  </w:t>
      </w:r>
    </w:p>
    <w:p w14:paraId="39201F76" w14:textId="6753B654" w:rsidR="00187209" w:rsidRDefault="00187209" w:rsidP="00187209">
      <w:r>
        <w:t>Henare, M. (</w:t>
      </w:r>
      <w:r w:rsidRPr="00675ACD">
        <w:t>1988</w:t>
      </w:r>
      <w:r>
        <w:t>).</w:t>
      </w:r>
      <w:r w:rsidRPr="00675ACD">
        <w:t xml:space="preserve"> </w:t>
      </w:r>
      <w:r>
        <w:t>Ngā tikanga me ngā ritenga o te ao Mā</w:t>
      </w:r>
      <w:r w:rsidRPr="00675ACD">
        <w:t xml:space="preserve">ori: </w:t>
      </w:r>
      <w:r w:rsidR="00FE2196">
        <w:t>S</w:t>
      </w:r>
      <w:r w:rsidRPr="00675ACD">
        <w:t xml:space="preserve">tandards and foundations of </w:t>
      </w:r>
      <w:r>
        <w:t>Mā</w:t>
      </w:r>
      <w:r w:rsidRPr="00675ACD">
        <w:t>ori society</w:t>
      </w:r>
      <w:r>
        <w:t>.</w:t>
      </w:r>
      <w:r w:rsidRPr="00675ACD">
        <w:t xml:space="preserve"> </w:t>
      </w:r>
      <w:r>
        <w:t>I</w:t>
      </w:r>
      <w:r w:rsidRPr="00675ACD">
        <w:t xml:space="preserve">n </w:t>
      </w:r>
      <w:r>
        <w:t xml:space="preserve">I. Richardson (Ed.), </w:t>
      </w:r>
      <w:r w:rsidRPr="00675ACD">
        <w:rPr>
          <w:i/>
        </w:rPr>
        <w:t xml:space="preserve">Report of </w:t>
      </w:r>
      <w:r>
        <w:rPr>
          <w:i/>
        </w:rPr>
        <w:t>t</w:t>
      </w:r>
      <w:r w:rsidRPr="00675ACD">
        <w:rPr>
          <w:i/>
        </w:rPr>
        <w:t xml:space="preserve">he Royal Commission </w:t>
      </w:r>
      <w:r>
        <w:rPr>
          <w:i/>
        </w:rPr>
        <w:t>o</w:t>
      </w:r>
      <w:r w:rsidRPr="00675ACD">
        <w:rPr>
          <w:i/>
        </w:rPr>
        <w:t>n Social Policy</w:t>
      </w:r>
      <w:r w:rsidRPr="00675ACD">
        <w:t xml:space="preserve">, Volume </w:t>
      </w:r>
      <w:r>
        <w:t>3</w:t>
      </w:r>
      <w:r w:rsidRPr="00675ACD">
        <w:t xml:space="preserve"> Part </w:t>
      </w:r>
      <w:r>
        <w:t>1 (pp. 7–41).</w:t>
      </w:r>
      <w:r w:rsidRPr="00675ACD">
        <w:t xml:space="preserve"> Wellington</w:t>
      </w:r>
      <w:r>
        <w:t>, New Zealand:</w:t>
      </w:r>
      <w:r w:rsidRPr="00675ACD">
        <w:t xml:space="preserve"> </w:t>
      </w:r>
      <w:r>
        <w:t>Government Printer.</w:t>
      </w:r>
    </w:p>
    <w:p w14:paraId="2063B8FA" w14:textId="77777777" w:rsidR="00187209" w:rsidRDefault="00187209" w:rsidP="00187209">
      <w:r w:rsidRPr="004312DA">
        <w:t>Hohepa</w:t>
      </w:r>
      <w:r>
        <w:t>, M. K.</w:t>
      </w:r>
      <w:r w:rsidRPr="004312DA">
        <w:t xml:space="preserve"> (1999)</w:t>
      </w:r>
      <w:r>
        <w:t>.</w:t>
      </w:r>
      <w:r w:rsidRPr="004312DA">
        <w:t xml:space="preserve"> '</w:t>
      </w:r>
      <w:r w:rsidRPr="004312DA">
        <w:rPr>
          <w:i/>
        </w:rPr>
        <w:t>Hei Tautoko I Te Reo</w:t>
      </w:r>
      <w:r w:rsidRPr="004312DA">
        <w:t xml:space="preserve">': </w:t>
      </w:r>
      <w:r>
        <w:rPr>
          <w:i/>
        </w:rPr>
        <w:t>Mā</w:t>
      </w:r>
      <w:r w:rsidRPr="004312DA">
        <w:rPr>
          <w:i/>
        </w:rPr>
        <w:t xml:space="preserve">ori Language Regeneration and </w:t>
      </w:r>
      <w:r>
        <w:rPr>
          <w:i/>
        </w:rPr>
        <w:t>Whā</w:t>
      </w:r>
      <w:r w:rsidRPr="004312DA">
        <w:rPr>
          <w:i/>
        </w:rPr>
        <w:t>nau</w:t>
      </w:r>
      <w:r>
        <w:rPr>
          <w:i/>
        </w:rPr>
        <w:t xml:space="preserve"> Bookreading Practices</w:t>
      </w:r>
      <w:r>
        <w:t xml:space="preserve">. (Doctoral dissertation). Retrieved from </w:t>
      </w:r>
      <w:r w:rsidRPr="00E36603">
        <w:t>https://researchspace.auckland.ac.nz/handle/2292/517</w:t>
      </w:r>
      <w:r>
        <w:t xml:space="preserve"> </w:t>
      </w:r>
    </w:p>
    <w:p w14:paraId="2CBC10C2" w14:textId="1FE558A2" w:rsidR="00187209" w:rsidRDefault="00187209" w:rsidP="00187209">
      <w:r>
        <w:t xml:space="preserve">Hosking, J., Ameratunga, S., Morton, S., &amp; Blank, D. (2011). A life course </w:t>
      </w:r>
      <w:r w:rsidR="00FE2196">
        <w:t>approach to injury prevention: A</w:t>
      </w:r>
      <w:r>
        <w:t xml:space="preserve"> “lens and telescope” conceptual model. </w:t>
      </w:r>
      <w:r w:rsidRPr="00132B37">
        <w:rPr>
          <w:i/>
        </w:rPr>
        <w:t>BMC Public Health, 11</w:t>
      </w:r>
      <w:r>
        <w:t>, 695.</w:t>
      </w:r>
    </w:p>
    <w:p w14:paraId="45DBB652" w14:textId="77777777" w:rsidR="00187209" w:rsidRDefault="00187209" w:rsidP="00187209">
      <w:r w:rsidRPr="005244B1">
        <w:t xml:space="preserve">Howard, J. (2008). </w:t>
      </w:r>
      <w:r w:rsidRPr="00A62E43">
        <w:rPr>
          <w:i/>
        </w:rPr>
        <w:t>Concentration camps on the home front: Japanese Americans in the house of Jim Crow</w:t>
      </w:r>
      <w:r w:rsidRPr="005244B1">
        <w:t xml:space="preserve">. Chicago, IL: University of Chicago Press. </w:t>
      </w:r>
    </w:p>
    <w:p w14:paraId="18EE4B72" w14:textId="0920EF03" w:rsidR="00187209" w:rsidRDefault="00187209" w:rsidP="00187209">
      <w:r w:rsidRPr="004312DA">
        <w:t>Irwin, K</w:t>
      </w:r>
      <w:r>
        <w:t>.</w:t>
      </w:r>
      <w:r w:rsidRPr="004312DA">
        <w:t xml:space="preserve"> </w:t>
      </w:r>
      <w:r>
        <w:t>(</w:t>
      </w:r>
      <w:r w:rsidRPr="004312DA">
        <w:t>1992)</w:t>
      </w:r>
      <w:r>
        <w:t xml:space="preserve">. </w:t>
      </w:r>
      <w:r w:rsidRPr="004312DA">
        <w:t xml:space="preserve">Towards theories of </w:t>
      </w:r>
      <w:r>
        <w:t>Mā</w:t>
      </w:r>
      <w:r w:rsidRPr="004312DA">
        <w:t>ori feminism</w:t>
      </w:r>
      <w:r>
        <w:t>.</w:t>
      </w:r>
      <w:r w:rsidRPr="004312DA">
        <w:t xml:space="preserve"> </w:t>
      </w:r>
      <w:r>
        <w:t>I</w:t>
      </w:r>
      <w:r w:rsidRPr="004312DA">
        <w:t xml:space="preserve">n </w:t>
      </w:r>
      <w:r>
        <w:t xml:space="preserve">R. </w:t>
      </w:r>
      <w:r w:rsidRPr="004312DA">
        <w:t xml:space="preserve">Du Plessis  with </w:t>
      </w:r>
      <w:r>
        <w:t xml:space="preserve">P. </w:t>
      </w:r>
      <w:r w:rsidRPr="004312DA">
        <w:t xml:space="preserve">Bunkle, </w:t>
      </w:r>
      <w:r>
        <w:t xml:space="preserve">K. </w:t>
      </w:r>
      <w:r w:rsidRPr="004312DA">
        <w:t xml:space="preserve">Irwin, </w:t>
      </w:r>
      <w:r>
        <w:t>A.</w:t>
      </w:r>
      <w:r w:rsidRPr="004312DA">
        <w:t xml:space="preserve"> Laurie,</w:t>
      </w:r>
      <w:r>
        <w:t xml:space="preserve">&amp; </w:t>
      </w:r>
      <w:r w:rsidRPr="004312DA">
        <w:t xml:space="preserve"> </w:t>
      </w:r>
      <w:r>
        <w:t>S.</w:t>
      </w:r>
      <w:r w:rsidRPr="004312DA">
        <w:t xml:space="preserve"> Middleton</w:t>
      </w:r>
      <w:r>
        <w:t xml:space="preserve"> (Eds.)</w:t>
      </w:r>
      <w:r w:rsidRPr="004312DA">
        <w:t xml:space="preserve"> </w:t>
      </w:r>
      <w:r w:rsidRPr="004312DA">
        <w:rPr>
          <w:i/>
        </w:rPr>
        <w:t>Feminist voices:</w:t>
      </w:r>
      <w:r>
        <w:rPr>
          <w:i/>
        </w:rPr>
        <w:t xml:space="preserve"> </w:t>
      </w:r>
      <w:r w:rsidRPr="004312DA">
        <w:rPr>
          <w:i/>
        </w:rPr>
        <w:t>women's studies texts for Aotearoa/New Zealand</w:t>
      </w:r>
      <w:r>
        <w:t xml:space="preserve"> (</w:t>
      </w:r>
      <w:r w:rsidRPr="004312DA">
        <w:t>pp</w:t>
      </w:r>
      <w:r w:rsidR="00FE2196">
        <w:t>.</w:t>
      </w:r>
      <w:r w:rsidRPr="004312DA">
        <w:t xml:space="preserve"> 1 </w:t>
      </w:r>
      <w:r>
        <w:t>–</w:t>
      </w:r>
      <w:r w:rsidRPr="004312DA">
        <w:t xml:space="preserve"> 19</w:t>
      </w:r>
      <w:r>
        <w:t>).  Auckland, New Zealand:</w:t>
      </w:r>
      <w:r w:rsidRPr="004312DA">
        <w:t xml:space="preserve"> Oxford University Press</w:t>
      </w:r>
      <w:r>
        <w:t>.</w:t>
      </w:r>
    </w:p>
    <w:p w14:paraId="08D11E39" w14:textId="7EE4C165" w:rsidR="00187209" w:rsidRDefault="00187209" w:rsidP="00187209">
      <w:pPr>
        <w:rPr>
          <w:lang w:val="en-US"/>
        </w:rPr>
      </w:pPr>
      <w:r w:rsidRPr="00F3614A">
        <w:rPr>
          <w:lang w:val="en-US"/>
        </w:rPr>
        <w:t xml:space="preserve">Jackson, </w:t>
      </w:r>
      <w:r>
        <w:rPr>
          <w:lang w:val="en-US"/>
        </w:rPr>
        <w:t>M. (</w:t>
      </w:r>
      <w:r w:rsidRPr="00F3614A">
        <w:rPr>
          <w:lang w:val="en-US"/>
        </w:rPr>
        <w:t>1987</w:t>
      </w:r>
      <w:r>
        <w:rPr>
          <w:lang w:val="en-US"/>
        </w:rPr>
        <w:t xml:space="preserve">). </w:t>
      </w:r>
      <w:r>
        <w:rPr>
          <w:i/>
          <w:lang w:val="en-US"/>
        </w:rPr>
        <w:t>The Māori an</w:t>
      </w:r>
      <w:r w:rsidR="00FE2196">
        <w:rPr>
          <w:i/>
          <w:lang w:val="en-US"/>
        </w:rPr>
        <w:t>d the criminal justice system: A</w:t>
      </w:r>
      <w:r>
        <w:rPr>
          <w:i/>
          <w:lang w:val="en-US"/>
        </w:rPr>
        <w:t xml:space="preserve"> new perspective – He Whaipaanga Hou</w:t>
      </w:r>
      <w:r>
        <w:rPr>
          <w:lang w:val="en-US"/>
        </w:rPr>
        <w:t>, Wellington, New Zealand: Department of Justice.</w:t>
      </w:r>
    </w:p>
    <w:p w14:paraId="598120F6" w14:textId="28E484AF" w:rsidR="00187209" w:rsidRDefault="00187209" w:rsidP="00187209">
      <w:r w:rsidRPr="005244B1">
        <w:t>Jackson, M. (2016)</w:t>
      </w:r>
      <w:r>
        <w:t>.</w:t>
      </w:r>
      <w:r w:rsidRPr="005244B1">
        <w:t xml:space="preserve"> </w:t>
      </w:r>
      <w:r w:rsidRPr="005244B1">
        <w:rPr>
          <w:i/>
        </w:rPr>
        <w:t>From Valladolid to Aotearoa – the lies and trauma of dispossession</w:t>
      </w:r>
      <w:r w:rsidR="000569ED">
        <w:rPr>
          <w:i/>
        </w:rPr>
        <w:t>.</w:t>
      </w:r>
      <w:r w:rsidRPr="005244B1">
        <w:rPr>
          <w:i/>
        </w:rPr>
        <w:t xml:space="preserve"> </w:t>
      </w:r>
      <w:r w:rsidR="000569ED">
        <w:t>U</w:t>
      </w:r>
      <w:r w:rsidRPr="005244B1">
        <w:t xml:space="preserve">npublished </w:t>
      </w:r>
      <w:r w:rsidR="00FE2196">
        <w:t>d</w:t>
      </w:r>
      <w:r w:rsidRPr="005244B1">
        <w:t xml:space="preserve">iscussion </w:t>
      </w:r>
      <w:r w:rsidR="00FE2196">
        <w:t>p</w:t>
      </w:r>
      <w:r w:rsidRPr="005244B1">
        <w:t>aper developed for Te Atawhai o Te Ao, Whanganui</w:t>
      </w:r>
      <w:r>
        <w:t>.</w:t>
      </w:r>
    </w:p>
    <w:p w14:paraId="49DA564F" w14:textId="0D548F93" w:rsidR="00187209" w:rsidRDefault="00187209" w:rsidP="00187209">
      <w:r>
        <w:t xml:space="preserve">Jenkins, K. (1992) Reflections on the Status of </w:t>
      </w:r>
      <w:r w:rsidRPr="003528A6">
        <w:rPr>
          <w:bCs/>
        </w:rPr>
        <w:t>Māori</w:t>
      </w:r>
      <w:r>
        <w:t xml:space="preserve"> Women in Smith, L.T. (ed)  </w:t>
      </w:r>
      <w:r w:rsidRPr="00447DA8">
        <w:rPr>
          <w:i/>
        </w:rPr>
        <w:t>Te Pua 1</w:t>
      </w:r>
      <w:r w:rsidRPr="00447DA8">
        <w:t xml:space="preserve">, </w:t>
      </w:r>
      <w:r>
        <w:t>Auckland:</w:t>
      </w:r>
      <w:r w:rsidRPr="00447DA8">
        <w:t xml:space="preserve"> Te Puawaitanga</w:t>
      </w:r>
      <w:r>
        <w:t>, pp</w:t>
      </w:r>
      <w:r w:rsidR="00FE2196">
        <w:t>.</w:t>
      </w:r>
      <w:r>
        <w:t xml:space="preserve"> 37 – 45</w:t>
      </w:r>
    </w:p>
    <w:p w14:paraId="582DDF7A" w14:textId="6021764D" w:rsidR="00187209" w:rsidRDefault="00187209" w:rsidP="00187209">
      <w:r w:rsidRPr="005244B1">
        <w:t xml:space="preserve">Kruger, T., Pitman, M., Grennel, D., McDonald, T., Mariu, D., Pomare, A., Mita, T., Matahaere, M. &amp; Lawson-Te Aho, K. (2004). </w:t>
      </w:r>
      <w:r w:rsidRPr="00A62E43">
        <w:rPr>
          <w:i/>
        </w:rPr>
        <w:t>Transforming whānau violence: A conceptual framework</w:t>
      </w:r>
      <w:r>
        <w:rPr>
          <w:i/>
        </w:rPr>
        <w:t>:</w:t>
      </w:r>
      <w:r w:rsidRPr="00A62E43">
        <w:rPr>
          <w:i/>
        </w:rPr>
        <w:t xml:space="preserve"> An updated version of the report from the former Second Māori </w:t>
      </w:r>
      <w:r w:rsidR="00FE2196">
        <w:rPr>
          <w:i/>
        </w:rPr>
        <w:t>T</w:t>
      </w:r>
      <w:r w:rsidRPr="00A62E43">
        <w:rPr>
          <w:i/>
        </w:rPr>
        <w:t>askforce on Whānau Violence</w:t>
      </w:r>
      <w:r>
        <w:t xml:space="preserve">. Retrieved from </w:t>
      </w:r>
      <w:r w:rsidRPr="001170B1">
        <w:t>https://nzfvc.org.nz/sites/nzfvc.org.nz/files/transforming_</w:t>
      </w:r>
      <w:r>
        <w:t>whānau</w:t>
      </w:r>
      <w:r w:rsidRPr="001170B1">
        <w:t>_violence.pdf</w:t>
      </w:r>
      <w:r w:rsidRPr="005244B1">
        <w:t xml:space="preserve"> </w:t>
      </w:r>
    </w:p>
    <w:p w14:paraId="72E32FCC" w14:textId="77777777" w:rsidR="00187209" w:rsidRDefault="00187209" w:rsidP="00187209">
      <w:pPr>
        <w:rPr>
          <w:lang w:val="en-US"/>
        </w:rPr>
      </w:pPr>
      <w:r>
        <w:t xml:space="preserve">Lawson-Te Aho, K., &amp; Liu, J. H. (2010). Indigenous suicide and colonisation: The legacy of violence and the necessity of self-determination. </w:t>
      </w:r>
      <w:r>
        <w:rPr>
          <w:rStyle w:val="Emphasis"/>
        </w:rPr>
        <w:t>International Journal of Conflict &amp; Violence</w:t>
      </w:r>
      <w:r>
        <w:t xml:space="preserve">, </w:t>
      </w:r>
      <w:r>
        <w:rPr>
          <w:rStyle w:val="Emphasis"/>
        </w:rPr>
        <w:t>4</w:t>
      </w:r>
      <w:r>
        <w:t>(1), 124–133.</w:t>
      </w:r>
    </w:p>
    <w:p w14:paraId="10AD9535" w14:textId="15587CD8" w:rsidR="00187209" w:rsidRDefault="00187209" w:rsidP="00187209">
      <w:r w:rsidRPr="005244B1">
        <w:lastRenderedPageBreak/>
        <w:t>Lehavot, K., Walters, K.L., &amp; Simoni, J.M. (2009). Abuse, mastery, and health among lesbian, bisexual, and two-spirit American Indian and Alaska Native Women. C</w:t>
      </w:r>
      <w:r w:rsidRPr="005244B1">
        <w:rPr>
          <w:i/>
        </w:rPr>
        <w:t>ultural Diversity and Ethnic Minority Psychology</w:t>
      </w:r>
      <w:r w:rsidRPr="005244B1">
        <w:t xml:space="preserve">, </w:t>
      </w:r>
      <w:r w:rsidRPr="005244B1">
        <w:rPr>
          <w:i/>
        </w:rPr>
        <w:t>15</w:t>
      </w:r>
      <w:r w:rsidRPr="005244B1">
        <w:t xml:space="preserve">(3), 275–284. </w:t>
      </w:r>
    </w:p>
    <w:p w14:paraId="6E41BB89" w14:textId="5515F87A" w:rsidR="00187209" w:rsidRDefault="00187209" w:rsidP="00187209">
      <w:r w:rsidRPr="005244B1">
        <w:rPr>
          <w:lang w:val="en-US"/>
        </w:rPr>
        <w:t>Levy,</w:t>
      </w:r>
      <w:r>
        <w:rPr>
          <w:lang w:val="en-US"/>
        </w:rPr>
        <w:t xml:space="preserve"> M.,</w:t>
      </w:r>
      <w:r w:rsidRPr="005244B1">
        <w:rPr>
          <w:lang w:val="en-US"/>
        </w:rPr>
        <w:t xml:space="preserve"> Nikora</w:t>
      </w:r>
      <w:r>
        <w:rPr>
          <w:lang w:val="en-US"/>
        </w:rPr>
        <w:t>,</w:t>
      </w:r>
      <w:r w:rsidRPr="003528A6">
        <w:rPr>
          <w:lang w:val="en-US"/>
        </w:rPr>
        <w:t xml:space="preserve"> </w:t>
      </w:r>
      <w:r>
        <w:rPr>
          <w:lang w:val="en-US"/>
        </w:rPr>
        <w:t>L.W.</w:t>
      </w:r>
      <w:r w:rsidRPr="005244B1">
        <w:rPr>
          <w:lang w:val="en-US"/>
        </w:rPr>
        <w:t>, Masters</w:t>
      </w:r>
      <w:r>
        <w:rPr>
          <w:rFonts w:ascii="American Typewriter" w:hAnsi="American Typewriter" w:cs="American Typewriter"/>
          <w:lang w:val="en-US"/>
        </w:rPr>
        <w:t>-</w:t>
      </w:r>
      <w:r w:rsidRPr="005244B1">
        <w:rPr>
          <w:lang w:val="en-US"/>
        </w:rPr>
        <w:t>Awatere,</w:t>
      </w:r>
      <w:r w:rsidR="00A55E33">
        <w:rPr>
          <w:lang w:val="en-US"/>
        </w:rPr>
        <w:t xml:space="preserve"> </w:t>
      </w:r>
      <w:r>
        <w:rPr>
          <w:lang w:val="en-US"/>
        </w:rPr>
        <w:t>B.,</w:t>
      </w:r>
      <w:r w:rsidRPr="005244B1">
        <w:rPr>
          <w:lang w:val="en-US"/>
        </w:rPr>
        <w:t xml:space="preserve"> Rua</w:t>
      </w:r>
      <w:r w:rsidR="00A55E33">
        <w:rPr>
          <w:lang w:val="en-US"/>
        </w:rPr>
        <w:t>,</w:t>
      </w:r>
      <w:r>
        <w:rPr>
          <w:lang w:val="en-US"/>
        </w:rPr>
        <w:t xml:space="preserve"> M.R.</w:t>
      </w:r>
      <w:r w:rsidRPr="005244B1">
        <w:rPr>
          <w:lang w:val="en-US"/>
        </w:rPr>
        <w:t xml:space="preserve">, </w:t>
      </w:r>
      <w:r>
        <w:rPr>
          <w:lang w:val="en-US"/>
        </w:rPr>
        <w:t xml:space="preserve">&amp; </w:t>
      </w:r>
      <w:r w:rsidRPr="005244B1">
        <w:rPr>
          <w:lang w:val="en-US"/>
        </w:rPr>
        <w:t>Waitoki</w:t>
      </w:r>
      <w:r>
        <w:rPr>
          <w:lang w:val="en-US"/>
        </w:rPr>
        <w:t>,</w:t>
      </w:r>
      <w:r w:rsidR="00A55E33">
        <w:rPr>
          <w:lang w:val="en-US"/>
        </w:rPr>
        <w:t xml:space="preserve"> </w:t>
      </w:r>
      <w:r>
        <w:rPr>
          <w:lang w:val="en-US"/>
        </w:rPr>
        <w:t>W</w:t>
      </w:r>
      <w:r w:rsidR="00A55E33">
        <w:rPr>
          <w:lang w:val="en-US"/>
        </w:rPr>
        <w:t>.</w:t>
      </w:r>
      <w:r>
        <w:rPr>
          <w:lang w:val="en-US"/>
        </w:rPr>
        <w:t xml:space="preserve"> (Eds.).</w:t>
      </w:r>
      <w:r w:rsidRPr="005244B1">
        <w:rPr>
          <w:lang w:val="en-US"/>
        </w:rPr>
        <w:t xml:space="preserve"> (2008). </w:t>
      </w:r>
      <w:r w:rsidRPr="005244B1">
        <w:rPr>
          <w:i/>
          <w:iCs/>
          <w:lang w:val="en-US"/>
        </w:rPr>
        <w:t xml:space="preserve">Claiming Spaces: Proceedings of the 2007 National </w:t>
      </w:r>
      <w:r>
        <w:rPr>
          <w:i/>
          <w:iCs/>
          <w:lang w:val="en-US"/>
        </w:rPr>
        <w:t>Māori</w:t>
      </w:r>
      <w:r w:rsidRPr="005244B1">
        <w:rPr>
          <w:i/>
          <w:iCs/>
          <w:lang w:val="en-US"/>
        </w:rPr>
        <w:t xml:space="preserve"> and Pacific Psychologies Symposium, 23</w:t>
      </w:r>
      <w:r>
        <w:rPr>
          <w:rFonts w:ascii="American Typewriter" w:hAnsi="American Typewriter" w:cs="American Typewriter"/>
          <w:i/>
          <w:iCs/>
          <w:lang w:val="en-US"/>
        </w:rPr>
        <w:t>-</w:t>
      </w:r>
      <w:r w:rsidRPr="005244B1">
        <w:rPr>
          <w:i/>
          <w:iCs/>
          <w:lang w:val="en-US"/>
        </w:rPr>
        <w:t>24 November, Hamilton</w:t>
      </w:r>
      <w:r>
        <w:rPr>
          <w:i/>
          <w:iCs/>
          <w:lang w:val="en-US"/>
        </w:rPr>
        <w:t xml:space="preserve"> </w:t>
      </w:r>
      <w:r w:rsidRPr="005244B1">
        <w:rPr>
          <w:lang w:val="en-US"/>
        </w:rPr>
        <w:t>(pp</w:t>
      </w:r>
      <w:r>
        <w:rPr>
          <w:lang w:val="en-US"/>
        </w:rPr>
        <w:t xml:space="preserve">. </w:t>
      </w:r>
      <w:r w:rsidRPr="005244B1">
        <w:rPr>
          <w:lang w:val="en-US"/>
        </w:rPr>
        <w:t>48-51). Hamilton</w:t>
      </w:r>
      <w:r>
        <w:rPr>
          <w:lang w:val="en-US"/>
        </w:rPr>
        <w:t>, New Zealand</w:t>
      </w:r>
      <w:r w:rsidRPr="005244B1">
        <w:rPr>
          <w:lang w:val="en-US"/>
        </w:rPr>
        <w:t xml:space="preserve">: </w:t>
      </w:r>
      <w:r>
        <w:rPr>
          <w:lang w:val="en-US"/>
        </w:rPr>
        <w:t>Māori</w:t>
      </w:r>
      <w:r w:rsidRPr="005244B1">
        <w:rPr>
          <w:lang w:val="en-US"/>
        </w:rPr>
        <w:t xml:space="preserve"> and Psychology Research Unit</w:t>
      </w:r>
      <w:r>
        <w:rPr>
          <w:lang w:val="en-US"/>
        </w:rPr>
        <w:t>, University of Waikato.</w:t>
      </w:r>
    </w:p>
    <w:p w14:paraId="6AC47A31" w14:textId="68AC8212" w:rsidR="00187209" w:rsidRPr="00075203" w:rsidRDefault="00187209" w:rsidP="00187209">
      <w:r>
        <w:t>Lipsham, M.J.H., (2012)</w:t>
      </w:r>
      <w:r w:rsidR="00FE2196">
        <w:t>.</w:t>
      </w:r>
      <w:r>
        <w:t xml:space="preserve"> Āta as an Innovative Method and Practice Tool in Supervision. in </w:t>
      </w:r>
      <w:r>
        <w:rPr>
          <w:i/>
          <w:iCs/>
        </w:rPr>
        <w:t>Te Komako,</w:t>
      </w:r>
      <w:r w:rsidR="00602BA0">
        <w:rPr>
          <w:i/>
          <w:iCs/>
        </w:rPr>
        <w:t xml:space="preserve"> </w:t>
      </w:r>
      <w:r>
        <w:t>Issue 24 (3 &amp; 4), Christchurch: Aotearoa New Zealand Association of Social Workers</w:t>
      </w:r>
      <w:r w:rsidR="00602BA0">
        <w:t>.</w:t>
      </w:r>
    </w:p>
    <w:p w14:paraId="0E909AB9" w14:textId="697133D8" w:rsidR="00187209" w:rsidRPr="00B64AC8" w:rsidRDefault="00187209" w:rsidP="00187209">
      <w:pPr>
        <w:rPr>
          <w:lang w:val="en-US"/>
        </w:rPr>
      </w:pPr>
      <w:r>
        <w:rPr>
          <w:lang w:val="en-US"/>
        </w:rPr>
        <w:t>Love, C. (2000)</w:t>
      </w:r>
      <w:r w:rsidR="00D01B9A">
        <w:rPr>
          <w:lang w:val="en-US"/>
        </w:rPr>
        <w:t>.</w:t>
      </w:r>
      <w:r w:rsidRPr="00B64AC8">
        <w:rPr>
          <w:lang w:val="en-US"/>
        </w:rPr>
        <w:t xml:space="preserve"> Family group conferencing: cultural origins, sharing and appropriation</w:t>
      </w:r>
      <w:r w:rsidR="00D01B9A">
        <w:rPr>
          <w:lang w:val="en-US"/>
        </w:rPr>
        <w:t xml:space="preserve"> – A</w:t>
      </w:r>
      <w:r w:rsidRPr="00B64AC8">
        <w:rPr>
          <w:lang w:val="en-US"/>
        </w:rPr>
        <w:t xml:space="preserve"> </w:t>
      </w:r>
      <w:r>
        <w:rPr>
          <w:lang w:val="en-US"/>
        </w:rPr>
        <w:t>Māori</w:t>
      </w:r>
      <w:r w:rsidRPr="00B64AC8">
        <w:rPr>
          <w:lang w:val="en-US"/>
        </w:rPr>
        <w:t xml:space="preserve"> reflection. </w:t>
      </w:r>
      <w:r>
        <w:rPr>
          <w:lang w:val="en-US"/>
        </w:rPr>
        <w:t>In Burford, G. &amp; Hudson, J. (</w:t>
      </w:r>
      <w:r w:rsidR="00111D50">
        <w:rPr>
          <w:lang w:val="en-US"/>
        </w:rPr>
        <w:t>E</w:t>
      </w:r>
      <w:r>
        <w:rPr>
          <w:lang w:val="en-US"/>
        </w:rPr>
        <w:t>d</w:t>
      </w:r>
      <w:r w:rsidRPr="00B64AC8">
        <w:rPr>
          <w:lang w:val="en-US"/>
        </w:rPr>
        <w:t xml:space="preserve">s). </w:t>
      </w:r>
      <w:r w:rsidRPr="00B64AC8">
        <w:rPr>
          <w:i/>
          <w:lang w:val="en-US"/>
        </w:rPr>
        <w:t>Family group conferencing: New directions in child and family practice.</w:t>
      </w:r>
      <w:r w:rsidRPr="00B64AC8">
        <w:rPr>
          <w:lang w:val="en-US"/>
        </w:rPr>
        <w:t xml:space="preserve"> N</w:t>
      </w:r>
      <w:r w:rsidR="00D01B9A">
        <w:rPr>
          <w:lang w:val="en-US"/>
        </w:rPr>
        <w:t>ew York; Walter de Gruyter Inc.</w:t>
      </w:r>
    </w:p>
    <w:p w14:paraId="5C8C547E" w14:textId="63224AAE" w:rsidR="00187209" w:rsidRDefault="00187209" w:rsidP="00187209">
      <w:r w:rsidRPr="00C77EB1">
        <w:t>Mahuika</w:t>
      </w:r>
      <w:r>
        <w:t>,</w:t>
      </w:r>
      <w:r w:rsidRPr="00C77EB1">
        <w:t xml:space="preserve"> </w:t>
      </w:r>
      <w:r>
        <w:t>A.T.</w:t>
      </w:r>
      <w:r w:rsidRPr="00C77EB1">
        <w:t xml:space="preserve"> </w:t>
      </w:r>
      <w:r>
        <w:t>(</w:t>
      </w:r>
      <w:r w:rsidRPr="00C77EB1">
        <w:t>1973</w:t>
      </w:r>
      <w:r>
        <w:t xml:space="preserve">). </w:t>
      </w:r>
      <w:r w:rsidRPr="00C77EB1">
        <w:rPr>
          <w:i/>
        </w:rPr>
        <w:t>Ng</w:t>
      </w:r>
      <w:r>
        <w:rPr>
          <w:i/>
        </w:rPr>
        <w:t>ā</w:t>
      </w:r>
      <w:r w:rsidRPr="00C77EB1">
        <w:rPr>
          <w:i/>
        </w:rPr>
        <w:t xml:space="preserve"> Wahine Kai-hautu o Ng</w:t>
      </w:r>
      <w:r>
        <w:rPr>
          <w:i/>
        </w:rPr>
        <w:t>ā</w:t>
      </w:r>
      <w:r w:rsidRPr="00C77EB1">
        <w:rPr>
          <w:i/>
        </w:rPr>
        <w:t xml:space="preserve">ti Porou: Female Leaders of </w:t>
      </w:r>
      <w:r>
        <w:rPr>
          <w:i/>
        </w:rPr>
        <w:t>Ngā</w:t>
      </w:r>
      <w:r w:rsidRPr="00C77EB1">
        <w:rPr>
          <w:i/>
        </w:rPr>
        <w:t>ti Porou.</w:t>
      </w:r>
      <w:r w:rsidRPr="00C77EB1">
        <w:t xml:space="preserve"> </w:t>
      </w:r>
      <w:r w:rsidR="000569ED">
        <w:t>U</w:t>
      </w:r>
      <w:r w:rsidRPr="00C77EB1">
        <w:t>npublished Master</w:t>
      </w:r>
      <w:r w:rsidR="000569ED">
        <w:t>’</w:t>
      </w:r>
      <w:r>
        <w:t>s</w:t>
      </w:r>
      <w:r w:rsidRPr="00C77EB1">
        <w:t xml:space="preserve"> thesis</w:t>
      </w:r>
      <w:r w:rsidR="000569ED">
        <w:t>,</w:t>
      </w:r>
      <w:r w:rsidR="00D01B9A">
        <w:t xml:space="preserve"> </w:t>
      </w:r>
      <w:r w:rsidR="00D01B9A" w:rsidRPr="00C77EB1">
        <w:t>University of Sydney</w:t>
      </w:r>
      <w:r w:rsidR="000569ED">
        <w:t xml:space="preserve">, </w:t>
      </w:r>
      <w:r w:rsidR="000569ED" w:rsidRPr="00C77EB1">
        <w:t>Sydney</w:t>
      </w:r>
      <w:r w:rsidR="000569ED">
        <w:t>, Australia.</w:t>
      </w:r>
    </w:p>
    <w:p w14:paraId="0E9242D6" w14:textId="580E0501" w:rsidR="00187209" w:rsidRDefault="00187209" w:rsidP="00187209">
      <w:pPr>
        <w:rPr>
          <w:rFonts w:ascii="Times" w:hAnsi="Times" w:cs="Times"/>
          <w:lang w:val="en-US"/>
        </w:rPr>
      </w:pPr>
      <w:r>
        <w:rPr>
          <w:lang w:val="en-US"/>
        </w:rPr>
        <w:t xml:space="preserve">Marsden, M. (1986). </w:t>
      </w:r>
      <w:r w:rsidRPr="00230E60">
        <w:rPr>
          <w:i/>
          <w:lang w:val="en-US"/>
        </w:rPr>
        <w:t>M</w:t>
      </w:r>
      <w:r>
        <w:rPr>
          <w:i/>
          <w:lang w:val="en-US"/>
        </w:rPr>
        <w:t>ā</w:t>
      </w:r>
      <w:r w:rsidRPr="00230E60">
        <w:rPr>
          <w:i/>
          <w:lang w:val="en-US"/>
        </w:rPr>
        <w:t>ori illness and healing</w:t>
      </w:r>
      <w:r>
        <w:rPr>
          <w:lang w:val="en-US"/>
        </w:rPr>
        <w:t>. Paper presented at the Legal Research Foundation Sem</w:t>
      </w:r>
      <w:r w:rsidR="00D01B9A">
        <w:rPr>
          <w:lang w:val="en-US"/>
        </w:rPr>
        <w:t>inar, Auckland, September 1986.</w:t>
      </w:r>
    </w:p>
    <w:p w14:paraId="4C963171" w14:textId="2FF08D26" w:rsidR="00187209" w:rsidRDefault="00187209" w:rsidP="00187209">
      <w:r w:rsidRPr="005244B1">
        <w:t xml:space="preserve">Mikaere, A. (1994). Māori women: Caught in the contradictions of a colonised reality. </w:t>
      </w:r>
      <w:r w:rsidRPr="005244B1">
        <w:rPr>
          <w:i/>
        </w:rPr>
        <w:t>Waikato Law Review, 2.</w:t>
      </w:r>
      <w:r w:rsidRPr="005244B1">
        <w:t xml:space="preserve"> </w:t>
      </w:r>
      <w:r>
        <w:t>Retrieved from:</w:t>
      </w:r>
      <w:r w:rsidR="00D01B9A">
        <w:t xml:space="preserve"> </w:t>
      </w:r>
      <w:r w:rsidRPr="0013327C">
        <w:t>https://www.waikato.ac.nz/law/research/waikato_law_review/pubs/volume_2_1994/7</w:t>
      </w:r>
    </w:p>
    <w:p w14:paraId="38F39A63" w14:textId="35BE73FB" w:rsidR="00187209" w:rsidRDefault="00187209" w:rsidP="00187209">
      <w:r w:rsidRPr="00C86445">
        <w:t>Mikaere, A.</w:t>
      </w:r>
      <w:r>
        <w:t xml:space="preserve"> (2017). </w:t>
      </w:r>
      <w:r w:rsidRPr="0088454A">
        <w:t>The balance destroyed: the consequences for Māori women of the colonisation of Tikanga Māori.</w:t>
      </w:r>
      <w:r w:rsidRPr="00C86445">
        <w:t xml:space="preserve"> </w:t>
      </w:r>
      <w:r w:rsidR="00D01B9A">
        <w:t>Ō</w:t>
      </w:r>
      <w:r>
        <w:t>taki: Te Wānanga o Raukawa.</w:t>
      </w:r>
    </w:p>
    <w:p w14:paraId="747695BD" w14:textId="7549EA24" w:rsidR="00187209" w:rsidRDefault="00187209" w:rsidP="00187209">
      <w:r>
        <w:t xml:space="preserve">Million, D. (2013). Therapeutic nations: </w:t>
      </w:r>
      <w:r w:rsidR="00D01B9A">
        <w:t>H</w:t>
      </w:r>
      <w:r>
        <w:t>ealing in an age of Indigenous human rights. Tucson, AZ: University of Arizona Press.</w:t>
      </w:r>
    </w:p>
    <w:p w14:paraId="045B6255" w14:textId="50A1A1CA" w:rsidR="00187209" w:rsidRPr="00FB6710" w:rsidRDefault="00187209" w:rsidP="00187209">
      <w:r>
        <w:t>Moyle, P. (2013)</w:t>
      </w:r>
      <w:r w:rsidR="00D01B9A">
        <w:t>.</w:t>
      </w:r>
      <w:r>
        <w:t xml:space="preserve"> From Family Group Conferencing to Whānau Ora: Māori Social Workers Talk About Their Experiences</w:t>
      </w:r>
      <w:r w:rsidR="00BC636A">
        <w:t>.</w:t>
      </w:r>
      <w:r>
        <w:t xml:space="preserve"> Unpublished Masters of Social Work </w:t>
      </w:r>
      <w:r w:rsidR="00BC636A">
        <w:t>t</w:t>
      </w:r>
      <w:r w:rsidR="000D3330">
        <w:t>hesis,</w:t>
      </w:r>
      <w:r w:rsidR="000569ED">
        <w:t xml:space="preserve"> </w:t>
      </w:r>
      <w:r>
        <w:t>Massey University</w:t>
      </w:r>
      <w:r w:rsidR="000569ED">
        <w:t>, Manawatū, New Zealand</w:t>
      </w:r>
      <w:r w:rsidR="00BC636A">
        <w:t>.</w:t>
      </w:r>
    </w:p>
    <w:p w14:paraId="40D8154B" w14:textId="77777777" w:rsidR="00187209" w:rsidRDefault="00187209" w:rsidP="00187209">
      <w:r w:rsidRPr="005244B1">
        <w:t xml:space="preserve">Nagata, D. K. (1991). Transgenerational impact of the Japanese-American internment: Clinical issues in working with children of former internees. </w:t>
      </w:r>
      <w:r w:rsidRPr="005244B1">
        <w:rPr>
          <w:i/>
        </w:rPr>
        <w:t>Psychotherapy</w:t>
      </w:r>
      <w:r w:rsidRPr="005244B1">
        <w:t xml:space="preserve">, </w:t>
      </w:r>
      <w:r w:rsidRPr="005244B1">
        <w:rPr>
          <w:i/>
        </w:rPr>
        <w:t>28</w:t>
      </w:r>
      <w:r w:rsidRPr="005244B1">
        <w:t xml:space="preserve">(1), 121–128. </w:t>
      </w:r>
    </w:p>
    <w:p w14:paraId="3CB5C3D9" w14:textId="59F2528C" w:rsidR="00187209" w:rsidRDefault="00187209" w:rsidP="00187209">
      <w:pPr>
        <w:spacing w:line="240" w:lineRule="auto"/>
      </w:pPr>
      <w:r w:rsidRPr="001A682C">
        <w:t>Orange, C. (1987)</w:t>
      </w:r>
      <w:r w:rsidR="000D3330">
        <w:t>.</w:t>
      </w:r>
      <w:r w:rsidRPr="001A682C">
        <w:t xml:space="preserve"> </w:t>
      </w:r>
      <w:r w:rsidRPr="001A682C">
        <w:rPr>
          <w:i/>
        </w:rPr>
        <w:t>The Treaty of Waitangi</w:t>
      </w:r>
      <w:r w:rsidRPr="001A682C">
        <w:t>, Wellington</w:t>
      </w:r>
      <w:r>
        <w:t xml:space="preserve">: </w:t>
      </w:r>
      <w:r w:rsidRPr="001A682C">
        <w:t>Allen and Unwin</w:t>
      </w:r>
      <w:r w:rsidR="000D3330">
        <w:t>.</w:t>
      </w:r>
    </w:p>
    <w:p w14:paraId="2427415D" w14:textId="69341FDD" w:rsidR="00187209" w:rsidRDefault="00187209" w:rsidP="00187209">
      <w:r w:rsidRPr="005244B1">
        <w:t xml:space="preserve">Pere, R. R. (1982). </w:t>
      </w:r>
      <w:r w:rsidRPr="005244B1">
        <w:rPr>
          <w:i/>
          <w:highlight w:val="white"/>
        </w:rPr>
        <w:t xml:space="preserve">Ako: </w:t>
      </w:r>
      <w:r w:rsidR="000D3330">
        <w:rPr>
          <w:i/>
          <w:highlight w:val="white"/>
        </w:rPr>
        <w:t>C</w:t>
      </w:r>
      <w:r w:rsidRPr="005244B1">
        <w:rPr>
          <w:i/>
          <w:highlight w:val="white"/>
        </w:rPr>
        <w:t>oncepts and learning in the Māori tradition</w:t>
      </w:r>
      <w:r w:rsidRPr="005244B1">
        <w:rPr>
          <w:highlight w:val="white"/>
        </w:rPr>
        <w:t>. Working paper 17. Hamilton, N</w:t>
      </w:r>
      <w:r>
        <w:rPr>
          <w:highlight w:val="white"/>
        </w:rPr>
        <w:t>ew Zealand</w:t>
      </w:r>
      <w:r w:rsidRPr="005244B1">
        <w:rPr>
          <w:highlight w:val="white"/>
        </w:rPr>
        <w:t>: Dep</w:t>
      </w:r>
      <w:r>
        <w:rPr>
          <w:highlight w:val="white"/>
        </w:rPr>
        <w:t>artment</w:t>
      </w:r>
      <w:r w:rsidRPr="005244B1">
        <w:rPr>
          <w:highlight w:val="white"/>
        </w:rPr>
        <w:t xml:space="preserve"> of Sociology, University of Waikato.</w:t>
      </w:r>
    </w:p>
    <w:p w14:paraId="110344FC" w14:textId="77777777" w:rsidR="00187209" w:rsidRDefault="00187209" w:rsidP="00187209">
      <w:r w:rsidRPr="00DF555D">
        <w:lastRenderedPageBreak/>
        <w:t xml:space="preserve">Pere, </w:t>
      </w:r>
      <w:r>
        <w:t>R.,</w:t>
      </w:r>
      <w:r w:rsidRPr="00DF555D">
        <w:t xml:space="preserve"> </w:t>
      </w:r>
      <w:r>
        <w:t>(</w:t>
      </w:r>
      <w:r w:rsidRPr="00DF555D">
        <w:t>1988</w:t>
      </w:r>
      <w:r>
        <w:t>).</w:t>
      </w:r>
      <w:r w:rsidRPr="00DF555D">
        <w:t xml:space="preserve"> Te Wheke: Whaia te Maramatanga me te Aroha</w:t>
      </w:r>
      <w:r>
        <w:t>. In</w:t>
      </w:r>
      <w:r w:rsidRPr="00DF555D">
        <w:t xml:space="preserve"> </w:t>
      </w:r>
      <w:r>
        <w:t xml:space="preserve">S. </w:t>
      </w:r>
      <w:r w:rsidRPr="00DF555D">
        <w:t>Middleton, (</w:t>
      </w:r>
      <w:r>
        <w:t>E</w:t>
      </w:r>
      <w:r w:rsidRPr="00DF555D">
        <w:t>d</w:t>
      </w:r>
      <w:r>
        <w:t>.</w:t>
      </w:r>
      <w:r w:rsidRPr="00DF555D">
        <w:t xml:space="preserve">) </w:t>
      </w:r>
      <w:r w:rsidRPr="00DF555D">
        <w:rPr>
          <w:i/>
        </w:rPr>
        <w:t>Women and Education in Aotearoa</w:t>
      </w:r>
      <w:r>
        <w:t xml:space="preserve"> (pp. 6–19).</w:t>
      </w:r>
      <w:r w:rsidRPr="00DF555D">
        <w:t xml:space="preserve"> Wellington</w:t>
      </w:r>
      <w:r>
        <w:t xml:space="preserve">, New Zealand: </w:t>
      </w:r>
      <w:r w:rsidRPr="00DF555D">
        <w:t>Allen &amp; Unwin, Port Nicholson Press</w:t>
      </w:r>
      <w:r>
        <w:t>.</w:t>
      </w:r>
    </w:p>
    <w:p w14:paraId="457A33DD" w14:textId="77777777" w:rsidR="00187209" w:rsidRPr="00B82951" w:rsidRDefault="00187209" w:rsidP="00187209">
      <w:pPr>
        <w:rPr>
          <w:rFonts w:eastAsia="Calibri"/>
        </w:rPr>
      </w:pPr>
      <w:r w:rsidRPr="00B82951">
        <w:rPr>
          <w:rFonts w:eastAsia="Calibri"/>
        </w:rPr>
        <w:t xml:space="preserve">Pere, </w:t>
      </w:r>
      <w:r>
        <w:rPr>
          <w:rFonts w:eastAsia="Calibri"/>
        </w:rPr>
        <w:t>R. (1991) Te Wheke: Whaia te Mā</w:t>
      </w:r>
      <w:r w:rsidRPr="00B82951">
        <w:rPr>
          <w:rFonts w:eastAsia="Calibri"/>
        </w:rPr>
        <w:t xml:space="preserve">tauranga me te Aroha. In S. Middleton (ed.) </w:t>
      </w:r>
      <w:r w:rsidRPr="00B82951">
        <w:rPr>
          <w:rFonts w:eastAsia="Calibri"/>
          <w:i/>
        </w:rPr>
        <w:t>Women and Education in Aotearoa</w:t>
      </w:r>
      <w:r w:rsidRPr="00B82951">
        <w:rPr>
          <w:rFonts w:eastAsia="Calibri"/>
        </w:rPr>
        <w:t xml:space="preserve">. Wellington: Allen &amp; Unwin, Port Nicholson Press. </w:t>
      </w:r>
    </w:p>
    <w:p w14:paraId="7C248796" w14:textId="5BC7E04E" w:rsidR="00187209" w:rsidRDefault="00187209" w:rsidP="00187209">
      <w:r w:rsidRPr="00173EBF">
        <w:t xml:space="preserve">Pihama,  L.  </w:t>
      </w:r>
      <w:r>
        <w:t>(1993).</w:t>
      </w:r>
      <w:r w:rsidRPr="00173EBF">
        <w:t xml:space="preserve"> </w:t>
      </w:r>
      <w:r w:rsidRPr="00173EBF">
        <w:rPr>
          <w:i/>
        </w:rPr>
        <w:t>Tungia te Ururua, Kia Tupu Whakaritorito Te Tupu o te Harakeke: A Critical Analysis of Parents as First Teachers</w:t>
      </w:r>
      <w:r>
        <w:t>.</w:t>
      </w:r>
      <w:r w:rsidR="00C50E68">
        <w:t xml:space="preserve"> </w:t>
      </w:r>
      <w:r w:rsidRPr="00173EBF">
        <w:t xml:space="preserve">RUME Masters Theses Series Number 3, </w:t>
      </w:r>
      <w:r>
        <w:t>Auckland. New Zealand:</w:t>
      </w:r>
      <w:r w:rsidRPr="00173EBF">
        <w:t xml:space="preserve"> </w:t>
      </w:r>
      <w:r>
        <w:t xml:space="preserve">University of Auckland. </w:t>
      </w:r>
    </w:p>
    <w:p w14:paraId="207291AF" w14:textId="4C418467" w:rsidR="00187209" w:rsidRDefault="00187209" w:rsidP="00187209">
      <w:r w:rsidRPr="005244B1">
        <w:t xml:space="preserve">Pihama, L. (2001). </w:t>
      </w:r>
      <w:r w:rsidRPr="005244B1">
        <w:rPr>
          <w:i/>
        </w:rPr>
        <w:t>Tihei mauri ora, honouring our voices, Mana wahine as a kaupapa Māori theoretical framework</w:t>
      </w:r>
      <w:r>
        <w:rPr>
          <w:i/>
        </w:rPr>
        <w:t>.</w:t>
      </w:r>
      <w:r w:rsidRPr="005244B1">
        <w:rPr>
          <w:i/>
        </w:rPr>
        <w:t xml:space="preserve"> </w:t>
      </w:r>
      <w:r>
        <w:t>Unpub</w:t>
      </w:r>
      <w:r w:rsidRPr="002A7DC7">
        <w:rPr>
          <w:lang w:val="en-US"/>
        </w:rPr>
        <w:t>l</w:t>
      </w:r>
      <w:r>
        <w:rPr>
          <w:lang w:val="en-US"/>
        </w:rPr>
        <w:t>is</w:t>
      </w:r>
      <w:r w:rsidRPr="002A7DC7">
        <w:rPr>
          <w:lang w:val="en-US"/>
        </w:rPr>
        <w:t>h</w:t>
      </w:r>
      <w:r>
        <w:rPr>
          <w:lang w:val="en-US"/>
        </w:rPr>
        <w:t>ed</w:t>
      </w:r>
      <w:r w:rsidRPr="00C51677">
        <w:t xml:space="preserve"> </w:t>
      </w:r>
      <w:r w:rsidR="00C50E68">
        <w:t>Doctoral t</w:t>
      </w:r>
      <w:r w:rsidRPr="002A7DC7">
        <w:rPr>
          <w:lang w:val="en-US"/>
        </w:rPr>
        <w:t>h</w:t>
      </w:r>
      <w:r>
        <w:rPr>
          <w:lang w:val="en-US"/>
        </w:rPr>
        <w:t>esis,</w:t>
      </w:r>
      <w:r w:rsidRPr="00173EBF">
        <w:t xml:space="preserve"> </w:t>
      </w:r>
      <w:r>
        <w:t>University of Auckland</w:t>
      </w:r>
      <w:r w:rsidR="000569ED">
        <w:t>, Auckland.</w:t>
      </w:r>
    </w:p>
    <w:p w14:paraId="664BBAB7" w14:textId="4D180A7F" w:rsidR="00187209" w:rsidRPr="00CF415B" w:rsidRDefault="00187209" w:rsidP="00187209">
      <w:pPr>
        <w:rPr>
          <w:lang w:val="en-US"/>
        </w:rPr>
      </w:pPr>
      <w:r w:rsidRPr="00C51677">
        <w:rPr>
          <w:rFonts w:cs="Arial"/>
        </w:rPr>
        <w:t>Pihama</w:t>
      </w:r>
      <w:r w:rsidRPr="00C51677">
        <w:rPr>
          <w:rFonts w:cs="Arial"/>
          <w:bCs/>
        </w:rPr>
        <w:t>, L.</w:t>
      </w:r>
      <w:r w:rsidRPr="00C51677">
        <w:rPr>
          <w:rFonts w:cs="Arial"/>
        </w:rPr>
        <w:t>,</w:t>
      </w:r>
      <w:r w:rsidRPr="00E0050C">
        <w:rPr>
          <w:rFonts w:cs="Arial"/>
        </w:rPr>
        <w:t xml:space="preserve"> &amp; Cameron, N. (2012)</w:t>
      </w:r>
      <w:r>
        <w:rPr>
          <w:rFonts w:cs="Arial"/>
        </w:rPr>
        <w:t>.</w:t>
      </w:r>
      <w:r w:rsidR="00C50E68">
        <w:rPr>
          <w:rFonts w:cs="Arial"/>
        </w:rPr>
        <w:t xml:space="preserve"> Kua tupu te pā harakeke: D</w:t>
      </w:r>
      <w:r w:rsidRPr="00E0050C">
        <w:rPr>
          <w:rFonts w:cs="Arial"/>
        </w:rPr>
        <w:t>eveloping healthy whānau relationships</w:t>
      </w:r>
      <w:r>
        <w:rPr>
          <w:rFonts w:cs="Arial"/>
        </w:rPr>
        <w:t>.</w:t>
      </w:r>
      <w:r w:rsidRPr="00E0050C">
        <w:rPr>
          <w:rFonts w:cs="Arial"/>
        </w:rPr>
        <w:t xml:space="preserve"> </w:t>
      </w:r>
      <w:r w:rsidRPr="00E0050C">
        <w:rPr>
          <w:rFonts w:cs="Arial"/>
          <w:lang w:val="en-US"/>
        </w:rPr>
        <w:t xml:space="preserve">In </w:t>
      </w:r>
      <w:r>
        <w:rPr>
          <w:rFonts w:cs="Arial"/>
          <w:lang w:val="en-US"/>
        </w:rPr>
        <w:t>Waziyatawin</w:t>
      </w:r>
      <w:r w:rsidRPr="00E0050C">
        <w:rPr>
          <w:rFonts w:cs="Arial"/>
          <w:lang w:val="en-US"/>
        </w:rPr>
        <w:t xml:space="preserve"> &amp; </w:t>
      </w:r>
      <w:r>
        <w:rPr>
          <w:rFonts w:cs="Arial"/>
          <w:lang w:val="en-US"/>
        </w:rPr>
        <w:t xml:space="preserve">M. </w:t>
      </w:r>
      <w:r w:rsidRPr="00E0050C">
        <w:rPr>
          <w:rFonts w:cs="Arial"/>
          <w:lang w:val="en-US"/>
        </w:rPr>
        <w:t>Yellow</w:t>
      </w:r>
      <w:r>
        <w:rPr>
          <w:rFonts w:cs="Arial"/>
          <w:lang w:val="en-US"/>
        </w:rPr>
        <w:t xml:space="preserve"> B</w:t>
      </w:r>
      <w:r w:rsidRPr="00E0050C">
        <w:rPr>
          <w:rFonts w:cs="Arial"/>
          <w:lang w:val="en-US"/>
        </w:rPr>
        <w:t>ird (</w:t>
      </w:r>
      <w:r>
        <w:rPr>
          <w:rFonts w:cs="Arial"/>
          <w:lang w:val="en-US"/>
        </w:rPr>
        <w:t>E</w:t>
      </w:r>
      <w:r w:rsidRPr="00E0050C">
        <w:rPr>
          <w:rFonts w:cs="Arial"/>
          <w:lang w:val="en-US"/>
        </w:rPr>
        <w:t>ds</w:t>
      </w:r>
      <w:r>
        <w:rPr>
          <w:rFonts w:cs="Arial"/>
          <w:lang w:val="en-US"/>
        </w:rPr>
        <w:t>.</w:t>
      </w:r>
      <w:r w:rsidRPr="00E0050C">
        <w:rPr>
          <w:rFonts w:cs="Arial"/>
          <w:lang w:val="en-US"/>
        </w:rPr>
        <w:t>)</w:t>
      </w:r>
      <w:r>
        <w:rPr>
          <w:rFonts w:cs="Arial"/>
          <w:lang w:val="en-US"/>
        </w:rPr>
        <w:t>,</w:t>
      </w:r>
      <w:r w:rsidRPr="00E0050C">
        <w:rPr>
          <w:rFonts w:cs="Arial"/>
          <w:lang w:val="en-US"/>
        </w:rPr>
        <w:t xml:space="preserve"> </w:t>
      </w:r>
      <w:r w:rsidRPr="00A62E43">
        <w:rPr>
          <w:rFonts w:cs="Arial"/>
          <w:i/>
          <w:lang w:val="en-US"/>
        </w:rPr>
        <w:t>For</w:t>
      </w:r>
      <w:r w:rsidRPr="00E0050C">
        <w:rPr>
          <w:rFonts w:cs="Arial"/>
          <w:i/>
          <w:lang w:val="en-US"/>
        </w:rPr>
        <w:t xml:space="preserve"> indigenous minds only: </w:t>
      </w:r>
      <w:r w:rsidR="00C50E68">
        <w:rPr>
          <w:rFonts w:cs="Arial"/>
          <w:i/>
          <w:lang w:val="en-US"/>
        </w:rPr>
        <w:t>A</w:t>
      </w:r>
      <w:r w:rsidRPr="00E0050C">
        <w:rPr>
          <w:rFonts w:cs="Arial"/>
          <w:i/>
        </w:rPr>
        <w:t xml:space="preserve"> decolonization handbook</w:t>
      </w:r>
      <w:r>
        <w:rPr>
          <w:rFonts w:cs="Arial"/>
        </w:rPr>
        <w:t>.</w:t>
      </w:r>
      <w:r w:rsidRPr="00E0050C">
        <w:rPr>
          <w:rFonts w:cs="Arial"/>
        </w:rPr>
        <w:t xml:space="preserve"> Sante Fe, N</w:t>
      </w:r>
      <w:r>
        <w:rPr>
          <w:rFonts w:cs="Arial"/>
        </w:rPr>
        <w:t>M</w:t>
      </w:r>
      <w:r w:rsidRPr="00E0050C">
        <w:rPr>
          <w:rFonts w:cs="Arial"/>
        </w:rPr>
        <w:t>: SAR Press.</w:t>
      </w:r>
    </w:p>
    <w:p w14:paraId="0246FE03" w14:textId="4BE2FEDF" w:rsidR="00187209" w:rsidRDefault="00187209" w:rsidP="00187209">
      <w:pPr>
        <w:rPr>
          <w:shd w:val="clear" w:color="auto" w:fill="FFFFFF"/>
        </w:rPr>
      </w:pPr>
      <w:r w:rsidRPr="005244B1">
        <w:rPr>
          <w:bCs/>
          <w:lang w:val="en-US"/>
        </w:rPr>
        <w:t>Pihama</w:t>
      </w:r>
      <w:r w:rsidRPr="005244B1">
        <w:rPr>
          <w:b/>
          <w:bCs/>
          <w:lang w:val="en-US"/>
        </w:rPr>
        <w:t xml:space="preserve">, </w:t>
      </w:r>
      <w:r w:rsidRPr="00FD2072">
        <w:rPr>
          <w:bCs/>
          <w:lang w:val="en-US"/>
        </w:rPr>
        <w:t xml:space="preserve">L., </w:t>
      </w:r>
      <w:r w:rsidRPr="00FD2072">
        <w:rPr>
          <w:lang w:val="en-US"/>
        </w:rPr>
        <w:t>Te</w:t>
      </w:r>
      <w:r w:rsidRPr="005244B1">
        <w:rPr>
          <w:lang w:val="en-US"/>
        </w:rPr>
        <w:t xml:space="preserve"> Nana, R., Reynolds, P., Smith, C., Reid, J., Smith, L.T. (</w:t>
      </w:r>
      <w:r w:rsidRPr="005244B1">
        <w:rPr>
          <w:bCs/>
          <w:lang w:val="en-US"/>
        </w:rPr>
        <w:t>2014</w:t>
      </w:r>
      <w:r w:rsidRPr="005244B1">
        <w:rPr>
          <w:lang w:val="en-US"/>
        </w:rPr>
        <w:t>)</w:t>
      </w:r>
      <w:r w:rsidR="00C50E68">
        <w:rPr>
          <w:lang w:val="en-US"/>
        </w:rPr>
        <w:t>.</w:t>
      </w:r>
      <w:r w:rsidRPr="005244B1">
        <w:rPr>
          <w:lang w:val="en-US"/>
        </w:rPr>
        <w:t xml:space="preserve"> </w:t>
      </w:r>
      <w:r w:rsidRPr="005244B1">
        <w:rPr>
          <w:shd w:val="clear" w:color="auto" w:fill="FFFFFF"/>
        </w:rPr>
        <w:t xml:space="preserve">Positioning historical trauma theory within Aotearoa New Zealand in </w:t>
      </w:r>
      <w:r w:rsidRPr="005244B1">
        <w:rPr>
          <w:i/>
          <w:iCs/>
          <w:shd w:val="clear" w:color="auto" w:fill="FFFFFF"/>
        </w:rPr>
        <w:t>Alter</w:t>
      </w:r>
      <w:r>
        <w:rPr>
          <w:i/>
          <w:iCs/>
          <w:shd w:val="clear" w:color="auto" w:fill="FFFFFF"/>
        </w:rPr>
        <w:t>N</w:t>
      </w:r>
      <w:r w:rsidRPr="005244B1">
        <w:rPr>
          <w:i/>
          <w:iCs/>
          <w:shd w:val="clear" w:color="auto" w:fill="FFFFFF"/>
        </w:rPr>
        <w:t xml:space="preserve">ative: An International Journal of Indigenous Peoples, </w:t>
      </w:r>
      <w:r w:rsidRPr="00A62E43">
        <w:rPr>
          <w:i/>
          <w:shd w:val="clear" w:color="auto" w:fill="FFFFFF"/>
        </w:rPr>
        <w:t>10</w:t>
      </w:r>
      <w:r w:rsidRPr="005244B1">
        <w:rPr>
          <w:shd w:val="clear" w:color="auto" w:fill="FFFFFF"/>
        </w:rPr>
        <w:t>(3), 248</w:t>
      </w:r>
      <w:r>
        <w:rPr>
          <w:shd w:val="clear" w:color="auto" w:fill="FFFFFF"/>
        </w:rPr>
        <w:t>–</w:t>
      </w:r>
      <w:r w:rsidRPr="005244B1">
        <w:rPr>
          <w:shd w:val="clear" w:color="auto" w:fill="FFFFFF"/>
        </w:rPr>
        <w:t>262.</w:t>
      </w:r>
    </w:p>
    <w:p w14:paraId="788B7268" w14:textId="152BD266" w:rsidR="00187209" w:rsidRDefault="00187209" w:rsidP="00187209">
      <w:pPr>
        <w:rPr>
          <w:lang w:val="en-US"/>
        </w:rPr>
      </w:pPr>
      <w:r w:rsidRPr="005244B1">
        <w:rPr>
          <w:lang w:val="en-US"/>
        </w:rPr>
        <w:t>Pihama, L., Lee, J., Te Nana, R., Campbell, D., Greensill, H., Tauroa, T. (2015)</w:t>
      </w:r>
      <w:r>
        <w:rPr>
          <w:lang w:val="en-US"/>
        </w:rPr>
        <w:t>.</w:t>
      </w:r>
      <w:r w:rsidRPr="005244B1">
        <w:rPr>
          <w:lang w:val="en-US"/>
        </w:rPr>
        <w:t xml:space="preserve"> Te </w:t>
      </w:r>
      <w:r w:rsidR="00353786">
        <w:rPr>
          <w:lang w:val="en-US"/>
        </w:rPr>
        <w:t>p</w:t>
      </w:r>
      <w:r w:rsidRPr="005244B1">
        <w:rPr>
          <w:rFonts w:hint="eastAsia"/>
          <w:lang w:val="en-US"/>
        </w:rPr>
        <w:t>ā</w:t>
      </w:r>
      <w:r w:rsidR="00353786">
        <w:rPr>
          <w:lang w:val="en-US"/>
        </w:rPr>
        <w:t xml:space="preserve"> h</w:t>
      </w:r>
      <w:r w:rsidRPr="005244B1">
        <w:rPr>
          <w:lang w:val="en-US"/>
        </w:rPr>
        <w:t xml:space="preserve">arakeke: </w:t>
      </w:r>
      <w:r w:rsidR="00353786">
        <w:rPr>
          <w:lang w:val="en-US"/>
        </w:rPr>
        <w:t>W</w:t>
      </w:r>
      <w:r w:rsidRPr="005244B1">
        <w:rPr>
          <w:lang w:val="en-US"/>
        </w:rPr>
        <w:t>h</w:t>
      </w:r>
      <w:r w:rsidRPr="005244B1">
        <w:rPr>
          <w:rFonts w:hint="eastAsia"/>
          <w:lang w:val="en-US"/>
        </w:rPr>
        <w:t>ā</w:t>
      </w:r>
      <w:r w:rsidRPr="005244B1">
        <w:rPr>
          <w:lang w:val="en-US"/>
        </w:rPr>
        <w:t>nau as a site of wellbeing</w:t>
      </w:r>
      <w:r>
        <w:rPr>
          <w:lang w:val="en-US"/>
        </w:rPr>
        <w:t>.</w:t>
      </w:r>
      <w:r w:rsidRPr="005244B1">
        <w:rPr>
          <w:lang w:val="en-US"/>
        </w:rPr>
        <w:t xml:space="preserve"> </w:t>
      </w:r>
      <w:r>
        <w:rPr>
          <w:lang w:val="en-US"/>
        </w:rPr>
        <w:t>I</w:t>
      </w:r>
      <w:r w:rsidRPr="005244B1">
        <w:rPr>
          <w:lang w:val="en-US"/>
        </w:rPr>
        <w:t xml:space="preserve">n </w:t>
      </w:r>
      <w:r>
        <w:rPr>
          <w:lang w:val="en-US"/>
        </w:rPr>
        <w:t xml:space="preserve">R. </w:t>
      </w:r>
      <w:r w:rsidRPr="005244B1">
        <w:rPr>
          <w:lang w:val="en-US"/>
        </w:rPr>
        <w:t xml:space="preserve">Rinehart, </w:t>
      </w:r>
      <w:r>
        <w:rPr>
          <w:lang w:val="en-US"/>
        </w:rPr>
        <w:t>E.</w:t>
      </w:r>
      <w:r w:rsidRPr="005244B1">
        <w:rPr>
          <w:lang w:val="en-US"/>
        </w:rPr>
        <w:t xml:space="preserve"> Emerald, &amp; </w:t>
      </w:r>
      <w:r>
        <w:rPr>
          <w:lang w:val="en-US"/>
        </w:rPr>
        <w:t xml:space="preserve">R. </w:t>
      </w:r>
      <w:r w:rsidRPr="005244B1">
        <w:rPr>
          <w:lang w:val="en-US"/>
        </w:rPr>
        <w:t>Matamua (</w:t>
      </w:r>
      <w:r>
        <w:rPr>
          <w:lang w:val="en-US"/>
        </w:rPr>
        <w:t>E</w:t>
      </w:r>
      <w:r w:rsidRPr="005244B1">
        <w:rPr>
          <w:lang w:val="en-US"/>
        </w:rPr>
        <w:t>ds.)</w:t>
      </w:r>
      <w:r>
        <w:rPr>
          <w:lang w:val="en-US"/>
        </w:rPr>
        <w:t>,</w:t>
      </w:r>
      <w:r w:rsidRPr="005244B1">
        <w:rPr>
          <w:lang w:val="en-US"/>
        </w:rPr>
        <w:t xml:space="preserve"> </w:t>
      </w:r>
      <w:r w:rsidRPr="005244B1">
        <w:rPr>
          <w:i/>
          <w:iCs/>
          <w:lang w:val="en-US"/>
        </w:rPr>
        <w:t xml:space="preserve">Tensions and positionings: </w:t>
      </w:r>
      <w:r w:rsidR="00353786">
        <w:rPr>
          <w:i/>
          <w:iCs/>
          <w:lang w:val="en-US"/>
        </w:rPr>
        <w:t>E</w:t>
      </w:r>
      <w:r w:rsidRPr="005244B1">
        <w:rPr>
          <w:i/>
          <w:iCs/>
          <w:lang w:val="en-US"/>
        </w:rPr>
        <w:t>thnographies in pan Pacific research</w:t>
      </w:r>
      <w:r>
        <w:rPr>
          <w:lang w:val="en-US"/>
        </w:rPr>
        <w:t>.</w:t>
      </w:r>
      <w:r w:rsidRPr="005244B1">
        <w:rPr>
          <w:lang w:val="en-US"/>
        </w:rPr>
        <w:t xml:space="preserve"> New York</w:t>
      </w:r>
      <w:r>
        <w:rPr>
          <w:lang w:val="en-US"/>
        </w:rPr>
        <w:t>, NY</w:t>
      </w:r>
      <w:r w:rsidRPr="005244B1">
        <w:rPr>
          <w:lang w:val="en-US"/>
        </w:rPr>
        <w:t>: Routledge</w:t>
      </w:r>
      <w:r>
        <w:rPr>
          <w:lang w:val="en-US"/>
        </w:rPr>
        <w:t>.</w:t>
      </w:r>
    </w:p>
    <w:p w14:paraId="18B0FE44" w14:textId="1A73AFFA" w:rsidR="00187209" w:rsidRPr="007254FF" w:rsidRDefault="00187209" w:rsidP="00187209">
      <w:pPr>
        <w:autoSpaceDE w:val="0"/>
        <w:autoSpaceDN w:val="0"/>
        <w:adjustRightInd w:val="0"/>
        <w:rPr>
          <w:bCs/>
        </w:rPr>
      </w:pPr>
      <w:r>
        <w:rPr>
          <w:bCs/>
        </w:rPr>
        <w:t>Pihama, L., Smith L.T., Evans-Campbell, T., Kohu-Morgan, H., Cameron, N., Mataki, T., Southey, K. (2017)</w:t>
      </w:r>
      <w:r w:rsidR="002B6372">
        <w:rPr>
          <w:bCs/>
        </w:rPr>
        <w:t>.</w:t>
      </w:r>
      <w:r>
        <w:rPr>
          <w:bCs/>
        </w:rPr>
        <w:t xml:space="preserve"> Investigating Māori Approaches to Trauma Informed Care. </w:t>
      </w:r>
      <w:r>
        <w:rPr>
          <w:bCs/>
          <w:i/>
          <w:iCs/>
        </w:rPr>
        <w:t>Journal of Indigenous Wellbeing</w:t>
      </w:r>
      <w:r>
        <w:rPr>
          <w:bCs/>
        </w:rPr>
        <w:t>, 2(3), 18-31.</w:t>
      </w:r>
    </w:p>
    <w:p w14:paraId="69F06A6A" w14:textId="4B81762E" w:rsidR="00187209" w:rsidRPr="00CF415B" w:rsidRDefault="00187209" w:rsidP="00187209">
      <w:r>
        <w:t>Pōhatu, T</w:t>
      </w:r>
      <w:r w:rsidR="005251A3">
        <w:t>.</w:t>
      </w:r>
      <w:r>
        <w:t xml:space="preserve"> (2004)</w:t>
      </w:r>
      <w:r w:rsidR="005251A3">
        <w:t>.</w:t>
      </w:r>
      <w:r>
        <w:t xml:space="preserve"> Āta: Growing Respectful Relationships in </w:t>
      </w:r>
      <w:r>
        <w:rPr>
          <w:i/>
          <w:iCs/>
        </w:rPr>
        <w:t>He Pukenga Kōrero: A Journal of Māori Studies</w:t>
      </w:r>
      <w:r>
        <w:t>, Raumata (Summer) Volume 8, No.1, Palmerston North: Te Pūtahi a Toi, Massey University, pp</w:t>
      </w:r>
      <w:r w:rsidR="004300D3">
        <w:t>.</w:t>
      </w:r>
      <w:r>
        <w:t xml:space="preserve"> 1-8</w:t>
      </w:r>
      <w:r w:rsidR="005251A3">
        <w:t>.</w:t>
      </w:r>
    </w:p>
    <w:p w14:paraId="472F4D2F" w14:textId="77777777" w:rsidR="00187209" w:rsidRDefault="00187209" w:rsidP="00187209">
      <w:r w:rsidRPr="005244B1">
        <w:t xml:space="preserve">Robson, B., &amp; Harris, R. (Eds.). (2007). </w:t>
      </w:r>
      <w:r w:rsidRPr="005244B1">
        <w:rPr>
          <w:i/>
        </w:rPr>
        <w:t>Hauora: Māori standards of health IV. A study of the years 2000–2005</w:t>
      </w:r>
      <w:r w:rsidRPr="005244B1">
        <w:t>. Wellington, N</w:t>
      </w:r>
      <w:r>
        <w:t xml:space="preserve">ew </w:t>
      </w:r>
      <w:r w:rsidRPr="005244B1">
        <w:t>Z</w:t>
      </w:r>
      <w:r>
        <w:t>ealand</w:t>
      </w:r>
      <w:r w:rsidRPr="005244B1">
        <w:t>: Te R</w:t>
      </w:r>
      <w:r>
        <w:t>ō</w:t>
      </w:r>
      <w:r w:rsidRPr="005244B1">
        <w:t>p</w:t>
      </w:r>
      <w:r>
        <w:t>u</w:t>
      </w:r>
      <w:r w:rsidRPr="005244B1">
        <w:t xml:space="preserve"> Rangahau Hauora a Eru P</w:t>
      </w:r>
      <w:r>
        <w:t>ō</w:t>
      </w:r>
      <w:r w:rsidRPr="005244B1">
        <w:t xml:space="preserve">mare. </w:t>
      </w:r>
    </w:p>
    <w:p w14:paraId="7CB0D465" w14:textId="77777777" w:rsidR="00187209" w:rsidRDefault="00187209" w:rsidP="00187209">
      <w:r>
        <w:t xml:space="preserve">Salmond, A. (1991). </w:t>
      </w:r>
      <w:r>
        <w:rPr>
          <w:i/>
        </w:rPr>
        <w:t xml:space="preserve">Two worlds: first meetings between </w:t>
      </w:r>
      <w:r w:rsidRPr="00A62E43">
        <w:rPr>
          <w:i/>
        </w:rPr>
        <w:t>Māori</w:t>
      </w:r>
      <w:r>
        <w:rPr>
          <w:i/>
        </w:rPr>
        <w:t xml:space="preserve"> and Europeans 1642-1772</w:t>
      </w:r>
      <w:r>
        <w:t>, Auckland, New Zealand: Viking Penguin.</w:t>
      </w:r>
    </w:p>
    <w:p w14:paraId="26D11C1B" w14:textId="201D42EA" w:rsidR="00187209" w:rsidRDefault="00187209" w:rsidP="00187209">
      <w:r>
        <w:t>Seed-Pihama, J. E. (2017). Ko wai tō ingoa? The transformative potential of Māori names</w:t>
      </w:r>
      <w:r w:rsidR="000569ED">
        <w:t xml:space="preserve">. Doctoral thesis, </w:t>
      </w:r>
      <w:r>
        <w:t>University of Waikato, Hamilton</w:t>
      </w:r>
      <w:r w:rsidR="000569ED">
        <w:t>, New Zealand</w:t>
      </w:r>
      <w:r>
        <w:t xml:space="preserve">. Retrieved from </w:t>
      </w:r>
      <w:hyperlink r:id="rId8" w:history="1">
        <w:r w:rsidR="0021755C" w:rsidRPr="00D973EE">
          <w:rPr>
            <w:rStyle w:val="Hyperlink"/>
          </w:rPr>
          <w:t>https://hdl.handle.net/10289/11310</w:t>
        </w:r>
      </w:hyperlink>
    </w:p>
    <w:p w14:paraId="3F300390" w14:textId="243DCD2B" w:rsidR="00187209" w:rsidRDefault="00187209" w:rsidP="00187209">
      <w:pPr>
        <w:rPr>
          <w:rFonts w:ascii="Times" w:hAnsi="Times" w:cs="Times"/>
          <w:lang w:val="en-US"/>
        </w:rPr>
      </w:pPr>
      <w:r>
        <w:lastRenderedPageBreak/>
        <w:t xml:space="preserve">Simmonds, N. (2011). </w:t>
      </w:r>
      <w:r w:rsidRPr="00A62E43">
        <w:t>Mana Wahine:</w:t>
      </w:r>
      <w:r w:rsidR="00F87CB7">
        <w:t xml:space="preserve"> </w:t>
      </w:r>
      <w:r w:rsidRPr="00A62E43">
        <w:t>Decolonising Politics</w:t>
      </w:r>
      <w:r>
        <w:t xml:space="preserve">. </w:t>
      </w:r>
      <w:r w:rsidRPr="00A62E43">
        <w:rPr>
          <w:i/>
          <w:lang w:val="en-US"/>
        </w:rPr>
        <w:t>Women’s Studies Journal, 25</w:t>
      </w:r>
      <w:r>
        <w:rPr>
          <w:lang w:val="en-US"/>
        </w:rPr>
        <w:t>(2),</w:t>
      </w:r>
      <w:r w:rsidRPr="00EB1253">
        <w:rPr>
          <w:lang w:val="en-US"/>
        </w:rPr>
        <w:t xml:space="preserve"> 11-25. </w:t>
      </w:r>
    </w:p>
    <w:p w14:paraId="3005774B" w14:textId="63D96E1A" w:rsidR="00187209" w:rsidRDefault="00187209" w:rsidP="00187209">
      <w:r w:rsidRPr="00DF3046">
        <w:t>Simon, J. (</w:t>
      </w:r>
      <w:r>
        <w:t>E</w:t>
      </w:r>
      <w:r w:rsidRPr="00DF3046">
        <w:t>d</w:t>
      </w:r>
      <w:r>
        <w:t>.</w:t>
      </w:r>
      <w:r w:rsidRPr="00DF3046">
        <w:t>)</w:t>
      </w:r>
      <w:r>
        <w:t>.</w:t>
      </w:r>
      <w:r w:rsidRPr="00DF3046">
        <w:t xml:space="preserve"> (1998)</w:t>
      </w:r>
      <w:r>
        <w:t>.</w:t>
      </w:r>
      <w:r w:rsidRPr="00DF3046">
        <w:t xml:space="preserve"> </w:t>
      </w:r>
      <w:r w:rsidRPr="00DF3046">
        <w:rPr>
          <w:i/>
        </w:rPr>
        <w:t>Ngā Kura Māori: The Native Schools System 1867-1969</w:t>
      </w:r>
      <w:r w:rsidRPr="00DF3046">
        <w:t>, Auckland</w:t>
      </w:r>
      <w:r>
        <w:t>, New Zealand</w:t>
      </w:r>
      <w:r w:rsidRPr="00DF3046">
        <w:t xml:space="preserve">: </w:t>
      </w:r>
      <w:r>
        <w:t>Auckland University Press.</w:t>
      </w:r>
      <w:r w:rsidRPr="00DF3046">
        <w:t xml:space="preserve"> </w:t>
      </w:r>
    </w:p>
    <w:p w14:paraId="5CBE32C3" w14:textId="77777777" w:rsidR="00187209" w:rsidRDefault="00187209" w:rsidP="00187209">
      <w:pPr>
        <w:rPr>
          <w:bCs/>
          <w:kern w:val="36"/>
        </w:rPr>
      </w:pPr>
      <w:r w:rsidRPr="00DF3046">
        <w:rPr>
          <w:bCs/>
          <w:kern w:val="36"/>
        </w:rPr>
        <w:t>Simon, J.</w:t>
      </w:r>
      <w:r>
        <w:rPr>
          <w:bCs/>
          <w:kern w:val="36"/>
        </w:rPr>
        <w:t>, &amp;</w:t>
      </w:r>
      <w:r w:rsidRPr="00DF3046">
        <w:rPr>
          <w:bCs/>
          <w:kern w:val="36"/>
        </w:rPr>
        <w:t xml:space="preserve"> Smith, L.T. (2001)</w:t>
      </w:r>
      <w:r>
        <w:rPr>
          <w:bCs/>
          <w:kern w:val="36"/>
        </w:rPr>
        <w:t>.</w:t>
      </w:r>
      <w:r w:rsidRPr="00DF3046">
        <w:rPr>
          <w:bCs/>
          <w:kern w:val="36"/>
        </w:rPr>
        <w:t xml:space="preserve"> </w:t>
      </w:r>
      <w:r w:rsidRPr="00DF3046">
        <w:rPr>
          <w:bCs/>
          <w:i/>
          <w:kern w:val="36"/>
        </w:rPr>
        <w:t>A civilising mission? Perceptions and representations of the New Zealand Native Schools System</w:t>
      </w:r>
      <w:r w:rsidRPr="00DF3046">
        <w:rPr>
          <w:bCs/>
          <w:kern w:val="36"/>
        </w:rPr>
        <w:t>, Auckland</w:t>
      </w:r>
      <w:r>
        <w:rPr>
          <w:bCs/>
          <w:kern w:val="36"/>
        </w:rPr>
        <w:t>, New Zealand</w:t>
      </w:r>
      <w:r w:rsidRPr="00DF3046">
        <w:rPr>
          <w:bCs/>
          <w:kern w:val="36"/>
        </w:rPr>
        <w:t>: Auckland University Press</w:t>
      </w:r>
      <w:r>
        <w:rPr>
          <w:bCs/>
          <w:kern w:val="36"/>
        </w:rPr>
        <w:t>.</w:t>
      </w:r>
    </w:p>
    <w:p w14:paraId="07AE5DBA" w14:textId="0C786E25" w:rsidR="00187209" w:rsidRDefault="00187209" w:rsidP="00187209">
      <w:r w:rsidRPr="005244B1">
        <w:t>Simpson, L. (2011)</w:t>
      </w:r>
      <w:r>
        <w:t>.</w:t>
      </w:r>
      <w:r w:rsidRPr="005244B1">
        <w:t xml:space="preserve"> </w:t>
      </w:r>
      <w:r w:rsidRPr="005244B1">
        <w:rPr>
          <w:i/>
        </w:rPr>
        <w:t>Dancing on our turtle’s back</w:t>
      </w:r>
      <w:r>
        <w:rPr>
          <w:i/>
        </w:rPr>
        <w:t xml:space="preserve">: </w:t>
      </w:r>
      <w:r w:rsidR="00F87CB7">
        <w:rPr>
          <w:i/>
        </w:rPr>
        <w:t>S</w:t>
      </w:r>
      <w:r>
        <w:rPr>
          <w:i/>
        </w:rPr>
        <w:t>tories of Nishnaabeg re-creation, resurgence, and a new emergence.</w:t>
      </w:r>
      <w:r w:rsidRPr="005244B1">
        <w:rPr>
          <w:i/>
        </w:rPr>
        <w:t xml:space="preserve"> </w:t>
      </w:r>
      <w:r w:rsidRPr="005244B1">
        <w:t>Winn</w:t>
      </w:r>
      <w:r>
        <w:t>i</w:t>
      </w:r>
      <w:r w:rsidRPr="005244B1">
        <w:t>peg</w:t>
      </w:r>
      <w:r>
        <w:t>, Manitoba</w:t>
      </w:r>
      <w:r w:rsidRPr="005244B1">
        <w:t>: ARP Books</w:t>
      </w:r>
      <w:r>
        <w:t>.</w:t>
      </w:r>
    </w:p>
    <w:p w14:paraId="474E57DA" w14:textId="25D3EC5C" w:rsidR="00187209" w:rsidRPr="001A682C" w:rsidRDefault="00187209" w:rsidP="00187209">
      <w:r w:rsidRPr="001A682C">
        <w:t>Smith, L.T. (1992)</w:t>
      </w:r>
      <w:r w:rsidR="00F87CB7">
        <w:t>.</w:t>
      </w:r>
      <w:r w:rsidRPr="001A682C">
        <w:t xml:space="preserve"> </w:t>
      </w:r>
      <w:r>
        <w:rPr>
          <w:i/>
        </w:rPr>
        <w:t>Māori</w:t>
      </w:r>
      <w:r w:rsidR="00F87CB7">
        <w:rPr>
          <w:i/>
        </w:rPr>
        <w:t xml:space="preserve"> w</w:t>
      </w:r>
      <w:r w:rsidRPr="001A682C">
        <w:rPr>
          <w:i/>
        </w:rPr>
        <w:t xml:space="preserve">omen: Discourses, </w:t>
      </w:r>
      <w:r w:rsidR="00F87CB7">
        <w:rPr>
          <w:i/>
        </w:rPr>
        <w:t>p</w:t>
      </w:r>
      <w:r w:rsidRPr="001A682C">
        <w:rPr>
          <w:i/>
        </w:rPr>
        <w:t xml:space="preserve">rojects and </w:t>
      </w:r>
      <w:r w:rsidR="00F87CB7">
        <w:rPr>
          <w:i/>
        </w:rPr>
        <w:t>m</w:t>
      </w:r>
      <w:r w:rsidRPr="001A682C">
        <w:rPr>
          <w:i/>
        </w:rPr>
        <w:t xml:space="preserve">ana </w:t>
      </w:r>
      <w:r w:rsidR="00F87CB7">
        <w:rPr>
          <w:i/>
        </w:rPr>
        <w:t>w</w:t>
      </w:r>
      <w:r w:rsidRPr="001A682C">
        <w:rPr>
          <w:i/>
        </w:rPr>
        <w:t>ahine</w:t>
      </w:r>
      <w:r w:rsidRPr="001A682C">
        <w:t>, in Middleton, S. and Jones,</w:t>
      </w:r>
      <w:r>
        <w:t xml:space="preserve"> </w:t>
      </w:r>
      <w:r w:rsidRPr="001A682C">
        <w:t>A. (</w:t>
      </w:r>
      <w:r w:rsidR="00111D50">
        <w:t>E</w:t>
      </w:r>
      <w:r w:rsidRPr="001A682C">
        <w:t>ds</w:t>
      </w:r>
      <w:r w:rsidR="00111D50">
        <w:t>.</w:t>
      </w:r>
      <w:r w:rsidRPr="001A682C">
        <w:t>)</w:t>
      </w:r>
      <w:r w:rsidR="00111D50">
        <w:t>,</w:t>
      </w:r>
      <w:r w:rsidRPr="001A682C">
        <w:t xml:space="preserve"> Women and Education in Aotearoa 2, Wellington: Bridget Williams Books, pp</w:t>
      </w:r>
      <w:r w:rsidR="00F87CB7">
        <w:t>.</w:t>
      </w:r>
      <w:r w:rsidRPr="001A682C">
        <w:t xml:space="preserve"> 33 </w:t>
      </w:r>
      <w:r w:rsidR="00F87CB7">
        <w:t>–</w:t>
      </w:r>
      <w:r w:rsidRPr="001A682C">
        <w:t xml:space="preserve"> 51</w:t>
      </w:r>
      <w:r w:rsidR="00F87CB7">
        <w:t>.</w:t>
      </w:r>
    </w:p>
    <w:p w14:paraId="238D1147" w14:textId="19BF9E84" w:rsidR="00187209" w:rsidRPr="004410AE" w:rsidRDefault="00187209" w:rsidP="00187209">
      <w:pPr>
        <w:rPr>
          <w:color w:val="000000"/>
          <w:spacing w:val="-3"/>
        </w:rPr>
      </w:pPr>
      <w:r w:rsidRPr="009950D3">
        <w:t>Smith, G</w:t>
      </w:r>
      <w:r>
        <w:t xml:space="preserve">. H. </w:t>
      </w:r>
      <w:r w:rsidRPr="009950D3">
        <w:t>(1997)</w:t>
      </w:r>
      <w:r>
        <w:t>.</w:t>
      </w:r>
      <w:r w:rsidRPr="009950D3">
        <w:t xml:space="preserve"> </w:t>
      </w:r>
      <w:r w:rsidRPr="009950D3">
        <w:rPr>
          <w:i/>
        </w:rPr>
        <w:t xml:space="preserve">The development of Kaupapa Māori theory and praxis. </w:t>
      </w:r>
      <w:r w:rsidRPr="009950D3">
        <w:t xml:space="preserve">Unpublished </w:t>
      </w:r>
      <w:r>
        <w:t xml:space="preserve">doctoral </w:t>
      </w:r>
      <w:r w:rsidRPr="004410AE">
        <w:rPr>
          <w:color w:val="000000"/>
        </w:rPr>
        <w:t>dissertation, School of Education, Auckland: University of Auckland</w:t>
      </w:r>
    </w:p>
    <w:p w14:paraId="75DC846A" w14:textId="49F7A6C0" w:rsidR="00187209" w:rsidRDefault="00187209" w:rsidP="00187209">
      <w:r>
        <w:t>Smith,</w:t>
      </w:r>
      <w:r w:rsidR="003B4B7D">
        <w:t xml:space="preserve"> T</w:t>
      </w:r>
      <w:r w:rsidR="00463E23">
        <w:t>.</w:t>
      </w:r>
      <w:r>
        <w:t xml:space="preserve"> (2019).</w:t>
      </w:r>
      <w:r w:rsidR="00463E23">
        <w:t xml:space="preserve"> </w:t>
      </w:r>
      <w:r w:rsidR="003B4B7D">
        <w:rPr>
          <w:i/>
          <w:iCs/>
        </w:rPr>
        <w:t xml:space="preserve">He Ara Uru Ora: Traditional Māori Understandings of Trauma and Healing, </w:t>
      </w:r>
      <w:r w:rsidR="003B4B7D">
        <w:t>Whanganui: Te Atawhai o Te Ao</w:t>
      </w:r>
      <w:r w:rsidR="00463E23">
        <w:t>.</w:t>
      </w:r>
    </w:p>
    <w:p w14:paraId="27D0DC7B" w14:textId="38A09D22" w:rsidR="00187209" w:rsidRDefault="00187209" w:rsidP="00187209">
      <w:r w:rsidRPr="005244B1">
        <w:t>Smith, T. (2015)</w:t>
      </w:r>
      <w:r>
        <w:t>.</w:t>
      </w:r>
      <w:r w:rsidRPr="005244B1">
        <w:t xml:space="preserve"> He Kokonga Whare</w:t>
      </w:r>
      <w:r>
        <w:t>.</w:t>
      </w:r>
      <w:r w:rsidRPr="005244B1">
        <w:t xml:space="preserve"> </w:t>
      </w:r>
      <w:r>
        <w:t>I</w:t>
      </w:r>
      <w:r w:rsidRPr="005244B1">
        <w:t xml:space="preserve">n </w:t>
      </w:r>
      <w:r>
        <w:t xml:space="preserve">L. </w:t>
      </w:r>
      <w:r w:rsidRPr="005244B1">
        <w:t>Pihama.</w:t>
      </w:r>
      <w:r>
        <w:t xml:space="preserve">, H. </w:t>
      </w:r>
      <w:r w:rsidRPr="005244B1">
        <w:t xml:space="preserve">Skipper, </w:t>
      </w:r>
      <w:r>
        <w:t>&amp; J.</w:t>
      </w:r>
      <w:r w:rsidR="00463E23">
        <w:t xml:space="preserve"> </w:t>
      </w:r>
      <w:r w:rsidRPr="005244B1">
        <w:t>Tipene (</w:t>
      </w:r>
      <w:r>
        <w:t>E</w:t>
      </w:r>
      <w:r w:rsidRPr="005244B1">
        <w:t>ds</w:t>
      </w:r>
      <w:r>
        <w:t>.</w:t>
      </w:r>
      <w:r w:rsidRPr="005244B1">
        <w:t>)</w:t>
      </w:r>
      <w:r>
        <w:t>,</w:t>
      </w:r>
      <w:r w:rsidR="004F4DF8">
        <w:t xml:space="preserve"> </w:t>
      </w:r>
      <w:r w:rsidRPr="005244B1">
        <w:rPr>
          <w:i/>
        </w:rPr>
        <w:t>He Manawa Whenua Conference Proceedings: Inaugural Issue</w:t>
      </w:r>
      <w:r>
        <w:rPr>
          <w:i/>
        </w:rPr>
        <w:t>.</w:t>
      </w:r>
      <w:r w:rsidRPr="005244B1">
        <w:rPr>
          <w:i/>
        </w:rPr>
        <w:t xml:space="preserve"> </w:t>
      </w:r>
      <w:r w:rsidRPr="005244B1">
        <w:t>Hamilton</w:t>
      </w:r>
      <w:r>
        <w:t>, New Zealand</w:t>
      </w:r>
      <w:r w:rsidRPr="005244B1">
        <w:t>: Te Kotahi Research Institute, University of Waikato</w:t>
      </w:r>
      <w:r>
        <w:t>.</w:t>
      </w:r>
    </w:p>
    <w:p w14:paraId="12A72BD6" w14:textId="25644C13" w:rsidR="00187209" w:rsidRPr="00726C35" w:rsidRDefault="00187209" w:rsidP="00187209">
      <w:r>
        <w:t>Starblanket. T. (2018)</w:t>
      </w:r>
      <w:r w:rsidR="004F4DF8">
        <w:t>.</w:t>
      </w:r>
      <w:r>
        <w:t xml:space="preserve"> </w:t>
      </w:r>
      <w:r>
        <w:rPr>
          <w:i/>
        </w:rPr>
        <w:t>Suffer the Little Children: Genocide, Indigenous Nations and the Canadian State,</w:t>
      </w:r>
      <w:r>
        <w:t xml:space="preserve"> Atlanta, GA: Clarity Press Inc</w:t>
      </w:r>
      <w:r w:rsidR="004F4DF8">
        <w:t>.</w:t>
      </w:r>
    </w:p>
    <w:p w14:paraId="3249595B" w14:textId="1BD45DB7" w:rsidR="00187209" w:rsidRDefault="00187209" w:rsidP="00187209">
      <w:r w:rsidRPr="005244B1">
        <w:t xml:space="preserve">Taki, M. (1996). </w:t>
      </w:r>
      <w:r w:rsidRPr="005244B1">
        <w:rPr>
          <w:i/>
        </w:rPr>
        <w:t>Kaupapa Māori and contemporary iwi resistance</w:t>
      </w:r>
      <w:r>
        <w:rPr>
          <w:i/>
        </w:rPr>
        <w:t>.</w:t>
      </w:r>
      <w:r w:rsidRPr="005244B1">
        <w:rPr>
          <w:i/>
        </w:rPr>
        <w:t xml:space="preserve"> </w:t>
      </w:r>
      <w:r w:rsidRPr="005244B1">
        <w:t xml:space="preserve">Unpublished </w:t>
      </w:r>
      <w:r w:rsidR="004F4DF8">
        <w:t>M</w:t>
      </w:r>
      <w:r w:rsidR="000569ED">
        <w:t>aster’s thesis,</w:t>
      </w:r>
      <w:r w:rsidRPr="005244B1">
        <w:t xml:space="preserve"> University of Auckland</w:t>
      </w:r>
      <w:r w:rsidR="000569ED">
        <w:t>, Auckland, New Zealand.</w:t>
      </w:r>
    </w:p>
    <w:p w14:paraId="42F5BCC5" w14:textId="2C80726D" w:rsidR="00187209" w:rsidRDefault="00187209" w:rsidP="00187209">
      <w:r w:rsidRPr="00256640">
        <w:t xml:space="preserve">Te Whaiti, P., McCarthy, M., </w:t>
      </w:r>
      <w:r>
        <w:t xml:space="preserve">&amp; </w:t>
      </w:r>
      <w:r w:rsidRPr="00256640">
        <w:t xml:space="preserve">Durie, A., </w:t>
      </w:r>
      <w:r>
        <w:t>(Eds.) (</w:t>
      </w:r>
      <w:r w:rsidRPr="00256640">
        <w:t>1997</w:t>
      </w:r>
      <w:r>
        <w:t>).</w:t>
      </w:r>
      <w:r w:rsidRPr="00256640">
        <w:t xml:space="preserve"> </w:t>
      </w:r>
      <w:r w:rsidRPr="00256640">
        <w:rPr>
          <w:i/>
        </w:rPr>
        <w:t>Mai I Rangiatea: M</w:t>
      </w:r>
      <w:r>
        <w:rPr>
          <w:i/>
        </w:rPr>
        <w:t>ā</w:t>
      </w:r>
      <w:r w:rsidRPr="00256640">
        <w:rPr>
          <w:i/>
        </w:rPr>
        <w:t>ori Wellbeing and Development</w:t>
      </w:r>
      <w:r w:rsidR="00B764E7">
        <w:rPr>
          <w:i/>
        </w:rPr>
        <w:t>.</w:t>
      </w:r>
      <w:r>
        <w:t xml:space="preserve"> Auckland, New Zealand: </w:t>
      </w:r>
      <w:r w:rsidRPr="00256640">
        <w:t>Auckland University Press</w:t>
      </w:r>
      <w:r>
        <w:t xml:space="preserve"> </w:t>
      </w:r>
      <w:r w:rsidRPr="00256640">
        <w:t>&amp; Bridget Williams Books</w:t>
      </w:r>
      <w:r>
        <w:t>.</w:t>
      </w:r>
      <w:r w:rsidRPr="00256640">
        <w:t xml:space="preserve"> </w:t>
      </w:r>
    </w:p>
    <w:p w14:paraId="68579AB2" w14:textId="77777777" w:rsidR="00187209" w:rsidRDefault="00187209" w:rsidP="00187209">
      <w:r w:rsidRPr="005244B1">
        <w:t xml:space="preserve">Turia, T. (2000). Keynote address to the annual conference of the New Zealand Psychological Society. </w:t>
      </w:r>
      <w:r w:rsidRPr="005244B1">
        <w:rPr>
          <w:i/>
        </w:rPr>
        <w:t>New Zealand Psychological Society</w:t>
      </w:r>
      <w:r w:rsidRPr="005244B1">
        <w:t xml:space="preserve">, </w:t>
      </w:r>
      <w:r w:rsidRPr="005244B1">
        <w:rPr>
          <w:i/>
        </w:rPr>
        <w:t>99</w:t>
      </w:r>
      <w:r w:rsidRPr="005244B1">
        <w:t xml:space="preserve">, 29–32. </w:t>
      </w:r>
    </w:p>
    <w:p w14:paraId="03D6834C" w14:textId="5536D242" w:rsidR="00187209" w:rsidRDefault="00187209" w:rsidP="00187209">
      <w:r w:rsidRPr="005244B1">
        <w:t xml:space="preserve">Walker, R. J. (1984). </w:t>
      </w:r>
      <w:r w:rsidR="00022755">
        <w:t xml:space="preserve">The genesis of Māori activism. </w:t>
      </w:r>
      <w:r w:rsidRPr="005244B1">
        <w:rPr>
          <w:i/>
        </w:rPr>
        <w:t>The Journal of the Polynesian Society, 93</w:t>
      </w:r>
      <w:r w:rsidRPr="00A62E43">
        <w:t>(3)</w:t>
      </w:r>
      <w:r>
        <w:rPr>
          <w:i/>
        </w:rPr>
        <w:t>,</w:t>
      </w:r>
      <w:r w:rsidRPr="005244B1">
        <w:t xml:space="preserve"> 267</w:t>
      </w:r>
      <w:r>
        <w:t>–</w:t>
      </w:r>
      <w:r w:rsidRPr="005244B1">
        <w:t>281.</w:t>
      </w:r>
    </w:p>
    <w:p w14:paraId="5777ABE9" w14:textId="78AE20E0" w:rsidR="00187209" w:rsidRDefault="00187209" w:rsidP="00187209">
      <w:r w:rsidRPr="005244B1">
        <w:t>Walker, R. J. (1996)</w:t>
      </w:r>
      <w:r>
        <w:t>.</w:t>
      </w:r>
      <w:r w:rsidRPr="005244B1">
        <w:t xml:space="preserve"> </w:t>
      </w:r>
      <w:r w:rsidRPr="005244B1">
        <w:rPr>
          <w:i/>
        </w:rPr>
        <w:t>Ngā pepa a Ranginui</w:t>
      </w:r>
      <w:r>
        <w:rPr>
          <w:i/>
        </w:rPr>
        <w:t>:</w:t>
      </w:r>
      <w:r w:rsidRPr="005244B1">
        <w:rPr>
          <w:i/>
        </w:rPr>
        <w:t xml:space="preserve"> </w:t>
      </w:r>
      <w:r w:rsidR="00022755">
        <w:rPr>
          <w:i/>
        </w:rPr>
        <w:t>T</w:t>
      </w:r>
      <w:r w:rsidRPr="005244B1">
        <w:rPr>
          <w:i/>
        </w:rPr>
        <w:t>he Walker papers</w:t>
      </w:r>
      <w:r w:rsidRPr="005244B1">
        <w:t>. Auckland</w:t>
      </w:r>
      <w:r>
        <w:t>, New Zealand</w:t>
      </w:r>
      <w:r w:rsidRPr="005244B1">
        <w:t>: Penguin Books.</w:t>
      </w:r>
    </w:p>
    <w:p w14:paraId="250AF76B" w14:textId="77777777" w:rsidR="00187209" w:rsidRDefault="00187209" w:rsidP="00187209">
      <w:r w:rsidRPr="005244B1">
        <w:lastRenderedPageBreak/>
        <w:t xml:space="preserve">Walters, K. L., Simoni, J., &amp; Evans-Campbell, T. (2002). Substance use among American Indians and Alaska Natives: Incorporating culture in an “indigenist” stress-coping paradigm. </w:t>
      </w:r>
      <w:r w:rsidRPr="005244B1">
        <w:rPr>
          <w:i/>
        </w:rPr>
        <w:t>Health Reports</w:t>
      </w:r>
      <w:r w:rsidRPr="005244B1">
        <w:t xml:space="preserve">, </w:t>
      </w:r>
      <w:r w:rsidRPr="00A62E43">
        <w:rPr>
          <w:i/>
        </w:rPr>
        <w:t>117</w:t>
      </w:r>
      <w:r>
        <w:t>(</w:t>
      </w:r>
      <w:r w:rsidRPr="005244B1">
        <w:t>Suppl 1</w:t>
      </w:r>
      <w:r>
        <w:t>), S104–117.</w:t>
      </w:r>
      <w:r w:rsidRPr="005244B1" w:rsidDel="00E25A3F">
        <w:t xml:space="preserve"> </w:t>
      </w:r>
    </w:p>
    <w:p w14:paraId="30C27B52" w14:textId="02647AE2" w:rsidR="00187209" w:rsidRDefault="00187209" w:rsidP="00187209">
      <w:r w:rsidRPr="005244B1">
        <w:t>Walters, K. (20</w:t>
      </w:r>
      <w:r w:rsidR="00022755">
        <w:t>07). Presentation at the “Does r</w:t>
      </w:r>
      <w:r w:rsidRPr="005244B1">
        <w:t xml:space="preserve">acism </w:t>
      </w:r>
      <w:r w:rsidR="00022755">
        <w:t>m</w:t>
      </w:r>
      <w:r w:rsidRPr="005244B1">
        <w:t xml:space="preserve">ake </w:t>
      </w:r>
      <w:r w:rsidR="00022755">
        <w:t>u</w:t>
      </w:r>
      <w:r w:rsidRPr="005244B1">
        <w:t xml:space="preserve">s </w:t>
      </w:r>
      <w:r w:rsidR="00022755">
        <w:t>s</w:t>
      </w:r>
      <w:r w:rsidRPr="005244B1">
        <w:t xml:space="preserve">ick?” Symposium, 13th </w:t>
      </w:r>
      <w:r w:rsidRPr="00A62E43">
        <w:t>Annual Summer Public Health Research Institute and Vid</w:t>
      </w:r>
      <w:r>
        <w:t>eoconference on Minority Health. Retri</w:t>
      </w:r>
      <w:r w:rsidR="00022755">
        <w:t>e</w:t>
      </w:r>
      <w:r>
        <w:t>ved from</w:t>
      </w:r>
      <w:r w:rsidRPr="00663DDD">
        <w:t xml:space="preserve">:  </w:t>
      </w:r>
      <w:r w:rsidRPr="00022755">
        <w:t>https://www.youtube.com/watch?v=7tKqMeF8tX</w:t>
      </w:r>
      <w:r w:rsidR="00022755">
        <w:t>A</w:t>
      </w:r>
    </w:p>
    <w:p w14:paraId="3001BC27" w14:textId="77777777" w:rsidR="00187209" w:rsidRPr="00FC7050" w:rsidRDefault="00187209" w:rsidP="00187209">
      <w:r w:rsidRPr="005244B1">
        <w:t xml:space="preserve">Walters, K. L., Beltran, R., Huh, D., &amp; Evans-Campbell, T. (2011). Dis-placement and dis-ease: Land, place and health among American Indians and Alaska Natives. </w:t>
      </w:r>
      <w:r w:rsidRPr="005244B1">
        <w:rPr>
          <w:i/>
        </w:rPr>
        <w:t>Communities, Neighborhoods, and Health: Social Disparities in Health and Health Care</w:t>
      </w:r>
      <w:r w:rsidRPr="005244B1">
        <w:t xml:space="preserve">, </w:t>
      </w:r>
      <w:r w:rsidRPr="005244B1">
        <w:rPr>
          <w:i/>
        </w:rPr>
        <w:t>1</w:t>
      </w:r>
      <w:r w:rsidRPr="005244B1">
        <w:t xml:space="preserve">(Part 2), 163–199. </w:t>
      </w:r>
    </w:p>
    <w:p w14:paraId="4D9BE2F5" w14:textId="756AE016" w:rsidR="00187209" w:rsidRDefault="00187209" w:rsidP="00187209">
      <w:r w:rsidRPr="004468FB">
        <w:t>Wesley-Esquimaux, C.C. (2009)</w:t>
      </w:r>
      <w:r>
        <w:t>.</w:t>
      </w:r>
      <w:r w:rsidRPr="004468FB">
        <w:t xml:space="preserve"> Trauma to resilience: notes on decolonization</w:t>
      </w:r>
      <w:r>
        <w:t>.</w:t>
      </w:r>
      <w:r w:rsidRPr="004468FB">
        <w:t xml:space="preserve"> </w:t>
      </w:r>
      <w:r>
        <w:t>I</w:t>
      </w:r>
      <w:r w:rsidRPr="004468FB">
        <w:t xml:space="preserve">n </w:t>
      </w:r>
      <w:r>
        <w:t xml:space="preserve">G. G. </w:t>
      </w:r>
      <w:r w:rsidRPr="004468FB">
        <w:t xml:space="preserve">Valaskakis, </w:t>
      </w:r>
      <w:r>
        <w:t xml:space="preserve">M. D. </w:t>
      </w:r>
      <w:r w:rsidRPr="004468FB">
        <w:t xml:space="preserve"> Stout, </w:t>
      </w:r>
      <w:r>
        <w:t>&amp; E.</w:t>
      </w:r>
      <w:r w:rsidRPr="004468FB">
        <w:t xml:space="preserve"> Guimond (</w:t>
      </w:r>
      <w:r>
        <w:t>E</w:t>
      </w:r>
      <w:r w:rsidRPr="004468FB">
        <w:t>ds</w:t>
      </w:r>
      <w:r>
        <w:t>.</w:t>
      </w:r>
      <w:r w:rsidRPr="004468FB">
        <w:t>)</w:t>
      </w:r>
      <w:r w:rsidR="00237B63">
        <w:t>,</w:t>
      </w:r>
      <w:r w:rsidRPr="004468FB">
        <w:t xml:space="preserve"> </w:t>
      </w:r>
      <w:r w:rsidRPr="004468FB">
        <w:rPr>
          <w:i/>
        </w:rPr>
        <w:t>Restoring the balance: First Nations women, community, and culture</w:t>
      </w:r>
      <w:r>
        <w:rPr>
          <w:i/>
        </w:rPr>
        <w:t xml:space="preserve"> </w:t>
      </w:r>
      <w:r>
        <w:t>(</w:t>
      </w:r>
      <w:r w:rsidRPr="004468FB">
        <w:t>pp</w:t>
      </w:r>
      <w:r>
        <w:t xml:space="preserve">. </w:t>
      </w:r>
      <w:r w:rsidRPr="004468FB">
        <w:t>13-34</w:t>
      </w:r>
      <w:r>
        <w:t>). Winnipeg,</w:t>
      </w:r>
      <w:r w:rsidRPr="004468FB">
        <w:t xml:space="preserve"> Manitoba: University of Manitoba Press</w:t>
      </w:r>
      <w:r>
        <w:t>.</w:t>
      </w:r>
      <w:r w:rsidRPr="004468FB">
        <w:t xml:space="preserve"> </w:t>
      </w:r>
    </w:p>
    <w:p w14:paraId="705EB315" w14:textId="77777777" w:rsidR="00187209" w:rsidRDefault="00187209" w:rsidP="00187209">
      <w:pPr>
        <w:rPr>
          <w:lang w:val="en-US"/>
        </w:rPr>
      </w:pPr>
      <w:r w:rsidRPr="006C4D95">
        <w:rPr>
          <w:lang w:val="en-US"/>
        </w:rPr>
        <w:t>Whitbeck</w:t>
      </w:r>
      <w:r>
        <w:rPr>
          <w:lang w:val="en-US"/>
        </w:rPr>
        <w:t>, L.B.,</w:t>
      </w:r>
      <w:r>
        <w:rPr>
          <w:position w:val="10"/>
          <w:lang w:val="en-US"/>
        </w:rPr>
        <w:t xml:space="preserve"> </w:t>
      </w:r>
      <w:r w:rsidRPr="006C4D95">
        <w:rPr>
          <w:lang w:val="en-US"/>
        </w:rPr>
        <w:t>Adams,</w:t>
      </w:r>
      <w:r>
        <w:rPr>
          <w:lang w:val="en-US"/>
        </w:rPr>
        <w:t xml:space="preserve"> G.W., Hoyt, D.R.</w:t>
      </w:r>
      <w:r w:rsidRPr="006C4D95">
        <w:rPr>
          <w:position w:val="10"/>
          <w:lang w:val="en-US"/>
        </w:rPr>
        <w:t xml:space="preserve"> </w:t>
      </w:r>
      <w:r w:rsidRPr="006C4D95">
        <w:rPr>
          <w:lang w:val="en-US"/>
        </w:rPr>
        <w:t>and Che</w:t>
      </w:r>
      <w:r>
        <w:rPr>
          <w:lang w:val="en-US"/>
        </w:rPr>
        <w:t xml:space="preserve">n, X. (2004). </w:t>
      </w:r>
      <w:r w:rsidRPr="006C4D95">
        <w:rPr>
          <w:lang w:val="en-US"/>
        </w:rPr>
        <w:t>Conceptualizing and measuring historical trau</w:t>
      </w:r>
      <w:r>
        <w:rPr>
          <w:lang w:val="en-US"/>
        </w:rPr>
        <w:t xml:space="preserve">ma among American Indian People. </w:t>
      </w:r>
      <w:r w:rsidRPr="006C4D95">
        <w:rPr>
          <w:i/>
          <w:iCs/>
          <w:lang w:val="en-US"/>
        </w:rPr>
        <w:t>American Journal of Community Psychology, 33</w:t>
      </w:r>
      <w:r w:rsidRPr="00A62E43">
        <w:rPr>
          <w:iCs/>
          <w:lang w:val="en-US"/>
        </w:rPr>
        <w:t>(3/4),</w:t>
      </w:r>
      <w:r w:rsidRPr="006C4D95">
        <w:rPr>
          <w:i/>
          <w:iCs/>
          <w:lang w:val="en-US"/>
        </w:rPr>
        <w:t xml:space="preserve"> </w:t>
      </w:r>
      <w:r>
        <w:rPr>
          <w:iCs/>
          <w:lang w:val="en-US"/>
        </w:rPr>
        <w:t>119–130.</w:t>
      </w:r>
    </w:p>
    <w:p w14:paraId="7C0923E9" w14:textId="103E47D1" w:rsidR="00187209" w:rsidRPr="0019132B" w:rsidRDefault="00187209" w:rsidP="00187209">
      <w:r>
        <w:rPr>
          <w:noProof/>
        </w:rPr>
        <w:t>Wirihana, R. &amp; Smith C. (2014)</w:t>
      </w:r>
      <w:r w:rsidR="00022755">
        <w:rPr>
          <w:noProof/>
        </w:rPr>
        <w:t>.</w:t>
      </w:r>
      <w:r w:rsidRPr="00B32FCD">
        <w:rPr>
          <w:noProof/>
        </w:rPr>
        <w:t xml:space="preserve">  Historical Trauma, Healing and Well-being in Māori Communities</w:t>
      </w:r>
      <w:r w:rsidR="00022755">
        <w:rPr>
          <w:noProof/>
        </w:rPr>
        <w:t xml:space="preserve">. </w:t>
      </w:r>
      <w:r>
        <w:rPr>
          <w:i/>
          <w:noProof/>
        </w:rPr>
        <w:t xml:space="preserve">MAI Journal, </w:t>
      </w:r>
      <w:r>
        <w:rPr>
          <w:noProof/>
        </w:rPr>
        <w:t>Volume 3, Issue 3.</w:t>
      </w:r>
    </w:p>
    <w:p w14:paraId="5851C832" w14:textId="090258BB" w:rsidR="00187209" w:rsidRDefault="00187209" w:rsidP="00187209">
      <w:r w:rsidRPr="00AF4C9C">
        <w:t>Yates-Smith, A</w:t>
      </w:r>
      <w:r>
        <w:t>.</w:t>
      </w:r>
      <w:r w:rsidRPr="00AF4C9C">
        <w:t xml:space="preserve"> </w:t>
      </w:r>
      <w:r>
        <w:t>(</w:t>
      </w:r>
      <w:r w:rsidRPr="00AF4C9C">
        <w:t>1998</w:t>
      </w:r>
      <w:r>
        <w:t>).</w:t>
      </w:r>
      <w:r w:rsidRPr="00AF4C9C">
        <w:t xml:space="preserve"> </w:t>
      </w:r>
      <w:r w:rsidRPr="00AF4C9C">
        <w:rPr>
          <w:i/>
        </w:rPr>
        <w:t>Hine! E Hine! Rediscovering the feminine in M</w:t>
      </w:r>
      <w:r>
        <w:rPr>
          <w:i/>
        </w:rPr>
        <w:t>ā</w:t>
      </w:r>
      <w:r w:rsidRPr="00AF4C9C">
        <w:rPr>
          <w:i/>
        </w:rPr>
        <w:t>ori spirituality</w:t>
      </w:r>
      <w:r>
        <w:t>.</w:t>
      </w:r>
      <w:r w:rsidRPr="00AF4C9C">
        <w:t xml:space="preserve"> </w:t>
      </w:r>
      <w:r>
        <w:t>(Doctoral dissertation). Retrieved from:</w:t>
      </w:r>
      <w:r w:rsidR="00022755">
        <w:t xml:space="preserve"> </w:t>
      </w:r>
      <w:r w:rsidRPr="00316C38">
        <w:t>https://www.researchgate.net/publication/34661021_Hine_e_Hine_rediscovering_the_feminine_in_</w:t>
      </w:r>
      <w:r>
        <w:t>Māori</w:t>
      </w:r>
      <w:r w:rsidRPr="00316C38">
        <w:t>_spirituality</w:t>
      </w:r>
    </w:p>
    <w:p w14:paraId="34DEDF5E" w14:textId="5BA49433" w:rsidR="002C1772" w:rsidRDefault="00187209" w:rsidP="006F30BC">
      <w:r w:rsidRPr="005244B1">
        <w:t>Yellow Horse, S., &amp; Brave Heart, M. Y. H. (2005). A review of the literature: Healing the Wakanheja: Evidence based, promising, and culturally appropriate practices for American Indian/Alaska Native children with mental health needs.</w:t>
      </w:r>
      <w:r w:rsidR="00463E23">
        <w:t xml:space="preserve"> </w:t>
      </w:r>
      <w:r w:rsidR="00463E23" w:rsidRPr="005244B1">
        <w:t>The Takini Network of Denver</w:t>
      </w:r>
      <w:r w:rsidR="00463E23">
        <w:t>.</w:t>
      </w:r>
      <w:r w:rsidRPr="005244B1">
        <w:t xml:space="preserve"> </w:t>
      </w:r>
      <w:r w:rsidRPr="005244B1">
        <w:rPr>
          <w:i/>
        </w:rPr>
        <w:t>Wellbriety: White Bison’s Online Magazine</w:t>
      </w:r>
      <w:r w:rsidRPr="005244B1">
        <w:t xml:space="preserve">, </w:t>
      </w:r>
      <w:r w:rsidRPr="005244B1">
        <w:rPr>
          <w:i/>
        </w:rPr>
        <w:t>6</w:t>
      </w:r>
      <w:r w:rsidRPr="005244B1">
        <w:t>(6).</w:t>
      </w:r>
    </w:p>
    <w:p w14:paraId="14C4F4AB" w14:textId="67F13130" w:rsidR="00792518" w:rsidRPr="006F30BC" w:rsidRDefault="002C1772" w:rsidP="006F30BC">
      <w:r>
        <w:fldChar w:fldCharType="begin"/>
      </w:r>
      <w:r>
        <w:instrText xml:space="preserve"> ADDIN EN.REFLIST </w:instrText>
      </w:r>
      <w:r>
        <w:fldChar w:fldCharType="end"/>
      </w:r>
    </w:p>
    <w:sectPr w:rsidR="00792518" w:rsidRPr="006F30BC" w:rsidSect="00233E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0" w:h="16840"/>
      <w:pgMar w:top="1644" w:right="1021" w:bottom="2041" w:left="1021" w:header="0" w:footer="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13647" w16cid:durableId="213DFAAF"/>
  <w16cid:commentId w16cid:paraId="3E8747E9" w16cid:durableId="213DFAB0"/>
  <w16cid:commentId w16cid:paraId="2F9C194B" w16cid:durableId="213DFAB1"/>
  <w16cid:commentId w16cid:paraId="2E26AE45" w16cid:durableId="213DFB4A"/>
  <w16cid:commentId w16cid:paraId="6F1801BA" w16cid:durableId="213DFAB2"/>
  <w16cid:commentId w16cid:paraId="1398D377" w16cid:durableId="213DFAB3"/>
  <w16cid:commentId w16cid:paraId="5E5C84F1" w16cid:durableId="213DFAB4"/>
  <w16cid:commentId w16cid:paraId="2FC12038" w16cid:durableId="213DFC10"/>
  <w16cid:commentId w16cid:paraId="75E449CD" w16cid:durableId="213DFAB5"/>
  <w16cid:commentId w16cid:paraId="5F3D69AD" w16cid:durableId="213DFC7F"/>
  <w16cid:commentId w16cid:paraId="4930C5C2" w16cid:durableId="213DFAB6"/>
  <w16cid:commentId w16cid:paraId="146E3A32" w16cid:durableId="213DFAB7"/>
  <w16cid:commentId w16cid:paraId="31FB2C77" w16cid:durableId="213DFC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B668" w14:textId="77777777" w:rsidR="00B032C0" w:rsidRDefault="00B032C0">
      <w:r>
        <w:separator/>
      </w:r>
    </w:p>
  </w:endnote>
  <w:endnote w:type="continuationSeparator" w:id="0">
    <w:p w14:paraId="7B6CD81C" w14:textId="77777777" w:rsidR="00B032C0" w:rsidRDefault="00B0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oefler Text">
    <w:altName w:val="Constantia"/>
    <w:charset w:val="4D"/>
    <w:family w:val="roman"/>
    <w:pitch w:val="variable"/>
    <w:sig w:usb0="00000001" w:usb1="5000204B" w:usb2="00000004" w:usb3="00000000" w:csb0="00000197" w:csb1="00000000"/>
  </w:font>
  <w:font w:name="SabonMaori">
    <w:altName w:val="Cambria"/>
    <w:panose1 w:val="00000000000000000000"/>
    <w:charset w:val="00"/>
    <w:family w:val="roman"/>
    <w:notTrueType/>
    <w:pitch w:val="default"/>
  </w:font>
  <w:font w:name="American Typewriter">
    <w:altName w:val="Sitka Small"/>
    <w:charset w:val="4D"/>
    <w:family w:val="roman"/>
    <w:pitch w:val="variable"/>
    <w:sig w:usb0="00000001"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06A9" w14:textId="77777777" w:rsidR="004B02AC" w:rsidRPr="00B52978" w:rsidRDefault="004B02AC" w:rsidP="0098586C">
    <w:pPr>
      <w:pStyle w:val="Footer"/>
    </w:pPr>
    <w:r>
      <w:rPr>
        <w:noProof/>
        <w:lang w:val="en-NZ" w:eastAsia="en-NZ"/>
      </w:rPr>
      <mc:AlternateContent>
        <mc:Choice Requires="wps">
          <w:drawing>
            <wp:anchor distT="0" distB="0" distL="114300" distR="114300" simplePos="0" relativeHeight="251657216" behindDoc="0" locked="0" layoutInCell="1" allowOverlap="1" wp14:anchorId="5CDB73A5" wp14:editId="69F057A2">
              <wp:simplePos x="0" y="0"/>
              <wp:positionH relativeFrom="column">
                <wp:posOffset>-97155</wp:posOffset>
              </wp:positionH>
              <wp:positionV relativeFrom="paragraph">
                <wp:posOffset>-142875</wp:posOffset>
              </wp:positionV>
              <wp:extent cx="6540500" cy="3683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33A9460" w14:textId="77777777" w:rsidR="004B02AC" w:rsidRPr="00B4373F" w:rsidRDefault="004B02AC"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495ADFAC" w14:textId="77777777" w:rsidR="004B02AC" w:rsidRPr="00CB4999" w:rsidRDefault="004B02AC" w:rsidP="0098586C"/>
                        <w:p w14:paraId="3E43972F" w14:textId="77777777" w:rsidR="004B02AC" w:rsidRPr="00B4373F" w:rsidRDefault="004B02AC"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420BCDC6" w14:textId="77777777" w:rsidR="004B02AC" w:rsidRPr="00CB4999" w:rsidRDefault="004B02AC"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DB73A5" id="_x0000_t202" coordsize="21600,21600" o:spt="202" path="m,l,21600r21600,l21600,xe">
              <v:stroke joinstyle="miter"/>
              <v:path gradientshapeok="t" o:connecttype="rect"/>
            </v:shapetype>
            <v:shape id="Text Box 13" o:spid="_x0000_s1032" type="#_x0000_t202" style="position:absolute;margin-left:-7.65pt;margin-top:-11.25pt;width:51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" filled="f" stroked="f">
              <v:path arrowok="t"/>
              <v:textbox>
                <w:txbxContent>
                  <w:p w14:paraId="133A9460" w14:textId="77777777" w:rsidR="004B02AC" w:rsidRPr="00B4373F" w:rsidRDefault="004B02AC"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495ADFAC" w14:textId="77777777" w:rsidR="004B02AC" w:rsidRPr="00CB4999" w:rsidRDefault="004B02AC" w:rsidP="0098586C"/>
                  <w:p w14:paraId="3E43972F" w14:textId="77777777" w:rsidR="004B02AC" w:rsidRPr="00B4373F" w:rsidRDefault="004B02AC"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420BCDC6" w14:textId="77777777" w:rsidR="004B02AC" w:rsidRPr="00CB4999" w:rsidRDefault="004B02AC" w:rsidP="0098586C"/>
                </w:txbxContent>
              </v:textbox>
            </v:shape>
          </w:pict>
        </mc:Fallback>
      </mc:AlternateContent>
    </w:r>
    <w:r>
      <w:rPr>
        <w:noProof/>
        <w:lang w:val="en-NZ" w:eastAsia="en-NZ"/>
      </w:rPr>
      <w:drawing>
        <wp:anchor distT="0" distB="0" distL="114300" distR="114300" simplePos="0" relativeHeight="251654144" behindDoc="1" locked="0" layoutInCell="1" allowOverlap="1" wp14:anchorId="445ECD39" wp14:editId="03F3E8B7">
          <wp:simplePos x="0" y="0"/>
          <wp:positionH relativeFrom="page">
            <wp:posOffset>-1517650</wp:posOffset>
          </wp:positionH>
          <wp:positionV relativeFrom="page">
            <wp:posOffset>9350375</wp:posOffset>
          </wp:positionV>
          <wp:extent cx="9103995" cy="1365250"/>
          <wp:effectExtent l="0" t="0" r="1905" b="6350"/>
          <wp:wrapNone/>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8E86" w14:textId="77777777" w:rsidR="004B02AC" w:rsidRPr="0061387D" w:rsidRDefault="004B02AC" w:rsidP="0098586C">
    <w:pPr>
      <w:pStyle w:val="Footer"/>
      <w:rPr>
        <w:rFonts w:ascii="Arial" w:hAnsi="Arial" w:cs="Arial"/>
      </w:rPr>
    </w:pPr>
    <w:r>
      <w:rPr>
        <w:noProof/>
        <w:lang w:val="en-NZ" w:eastAsia="en-NZ"/>
      </w:rPr>
      <w:drawing>
        <wp:anchor distT="0" distB="0" distL="114300" distR="114300" simplePos="0" relativeHeight="251653120" behindDoc="1" locked="0" layoutInCell="1" allowOverlap="1" wp14:anchorId="3F336243" wp14:editId="314D7D81">
          <wp:simplePos x="0" y="0"/>
          <wp:positionH relativeFrom="page">
            <wp:posOffset>-1517650</wp:posOffset>
          </wp:positionH>
          <wp:positionV relativeFrom="page">
            <wp:posOffset>9350375</wp:posOffset>
          </wp:positionV>
          <wp:extent cx="9103995" cy="1365250"/>
          <wp:effectExtent l="0" t="0" r="1905" b="635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EBE">
      <w:rPr>
        <w:noProof/>
        <w:lang w:val="en-NZ" w:eastAsia="en-NZ"/>
      </w:rPr>
      <mc:AlternateContent>
        <mc:Choice Requires="wps">
          <w:drawing>
            <wp:anchor distT="0" distB="0" distL="114300" distR="114300" simplePos="0" relativeHeight="251656192" behindDoc="0" locked="0" layoutInCell="1" allowOverlap="1" wp14:anchorId="04D49D8D" wp14:editId="6BACDBF9">
              <wp:simplePos x="0" y="0"/>
              <wp:positionH relativeFrom="column">
                <wp:posOffset>-97155</wp:posOffset>
              </wp:positionH>
              <wp:positionV relativeFrom="paragraph">
                <wp:posOffset>-142875</wp:posOffset>
              </wp:positionV>
              <wp:extent cx="6540500" cy="368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36835F" w14:textId="77777777" w:rsidR="004B02AC" w:rsidRPr="00B4373F" w:rsidRDefault="004B02AC"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5AC0AE" w14:textId="77777777" w:rsidR="004B02AC" w:rsidRPr="00CB4999" w:rsidRDefault="004B02AC" w:rsidP="0098586C"/>
                        <w:p w14:paraId="729EC600" w14:textId="77777777" w:rsidR="004B02AC" w:rsidRPr="00B4373F" w:rsidRDefault="004B02AC"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01ED254" w14:textId="77777777" w:rsidR="004B02AC" w:rsidRPr="00CB4999" w:rsidRDefault="004B02AC"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D49D8D" id="_x0000_t202" coordsize="21600,21600" o:spt="202" path="m,l,21600r21600,l21600,xe">
              <v:stroke joinstyle="miter"/>
              <v:path gradientshapeok="t" o:connecttype="rect"/>
            </v:shapetype>
            <v:shape id="_x0000_s1033" type="#_x0000_t202" style="position:absolute;margin-left:-7.65pt;margin-top:-11.25pt;width:51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" filled="f" stroked="f">
              <v:path arrowok="t"/>
              <v:textbox>
                <w:txbxContent>
                  <w:p w14:paraId="5036835F" w14:textId="77777777" w:rsidR="004B02AC" w:rsidRPr="00B4373F" w:rsidRDefault="004B02AC" w:rsidP="0098586C">
                    <w:pPr>
                      <w:rPr>
                        <w:color w:val="000000"/>
                      </w:rPr>
                    </w:pPr>
                    <w:r w:rsidRPr="00B4373F">
                      <w:rPr>
                        <w:rFonts w:cs="Arial"/>
                        <w:b/>
                        <w:color w:val="000000"/>
                      </w:rPr>
                      <w:t xml:space="preserve">New Zealand Family Violence Clearinghouse </w:t>
                    </w:r>
                    <w:r>
                      <w:rPr>
                        <w:rFonts w:cs="Arial"/>
                        <w:b/>
                        <w:color w:val="000000"/>
                      </w:rPr>
                      <w:t xml:space="preserve">                          </w:t>
                    </w:r>
                    <w:r>
                      <w:rPr>
                        <w:rFonts w:cs="Arial"/>
                        <w:b/>
                        <w:color w:val="000000"/>
                      </w:rPr>
                      <w:tab/>
                      <w:t xml:space="preserve">             </w:t>
                    </w:r>
                    <w:r w:rsidRPr="00B4373F">
                      <w:rPr>
                        <w:rFonts w:cs="Arial"/>
                        <w:b/>
                        <w:color w:val="000000"/>
                      </w:rPr>
                      <w:t>nzfvc.org.nz</w:t>
                    </w:r>
                  </w:p>
                  <w:p w14:paraId="565AC0AE" w14:textId="77777777" w:rsidR="004B02AC" w:rsidRPr="00CB4999" w:rsidRDefault="004B02AC" w:rsidP="0098586C"/>
                  <w:p w14:paraId="729EC600" w14:textId="77777777" w:rsidR="004B02AC" w:rsidRPr="00B4373F" w:rsidRDefault="004B02AC"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01ED254" w14:textId="77777777" w:rsidR="004B02AC" w:rsidRPr="00CB4999" w:rsidRDefault="004B02AC" w:rsidP="0098586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DED" w14:textId="77777777" w:rsidR="004B02AC" w:rsidRPr="00B52978" w:rsidRDefault="004B02AC" w:rsidP="0098586C">
    <w:pPr>
      <w:pStyle w:val="Footer"/>
    </w:pPr>
    <w:r>
      <w:rPr>
        <w:noProof/>
        <w:lang w:val="en-NZ" w:eastAsia="en-NZ"/>
      </w:rPr>
      <mc:AlternateContent>
        <mc:Choice Requires="wps">
          <w:drawing>
            <wp:anchor distT="0" distB="0" distL="114300" distR="114300" simplePos="0" relativeHeight="251658240" behindDoc="0" locked="0" layoutInCell="1" allowOverlap="1" wp14:anchorId="1C9EF42C" wp14:editId="190A038B">
              <wp:simplePos x="0" y="0"/>
              <wp:positionH relativeFrom="column">
                <wp:posOffset>-97155</wp:posOffset>
              </wp:positionH>
              <wp:positionV relativeFrom="paragraph">
                <wp:posOffset>-142875</wp:posOffset>
              </wp:positionV>
              <wp:extent cx="6540500"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A594C6" w14:textId="77777777" w:rsidR="004B02AC" w:rsidRPr="00B4373F" w:rsidRDefault="004B02AC"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4E493C6E" w14:textId="77777777" w:rsidR="004B02AC" w:rsidRPr="00CB4999" w:rsidRDefault="004B02AC" w:rsidP="0098586C"/>
                        <w:p w14:paraId="6AA03342" w14:textId="77777777" w:rsidR="004B02AC" w:rsidRPr="00B4373F" w:rsidRDefault="004B02AC"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1EDB4904" w14:textId="77777777" w:rsidR="004B02AC" w:rsidRPr="00CB4999" w:rsidRDefault="004B02AC"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9EF42C" id="_x0000_t202" coordsize="21600,21600" o:spt="202" path="m,l,21600r21600,l21600,xe">
              <v:stroke joinstyle="miter"/>
              <v:path gradientshapeok="t" o:connecttype="rect"/>
            </v:shapetype>
            <v:shape id="_x0000_s1036" type="#_x0000_t202" style="position:absolute;margin-left:-7.65pt;margin-top:-11.25pt;width:51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7uQ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" filled="f" stroked="f">
              <v:path arrowok="t"/>
              <v:textbox>
                <w:txbxContent>
                  <w:p w14:paraId="3FA594C6" w14:textId="77777777" w:rsidR="004B02AC" w:rsidRPr="00B4373F" w:rsidRDefault="004B02AC" w:rsidP="0098586C">
                    <w:pPr>
                      <w:rPr>
                        <w:color w:val="000000"/>
                      </w:rPr>
                    </w:pPr>
                    <w:r w:rsidRPr="00B4373F">
                      <w:rPr>
                        <w:rFonts w:cs="Arial"/>
                        <w:b/>
                        <w:color w:val="000000"/>
                      </w:rPr>
                      <w:t>New Zealand Family Violence Clearinghouse</w:t>
                    </w:r>
                    <w:r>
                      <w:rPr>
                        <w:rFonts w:cs="Arial"/>
                        <w:b/>
                        <w:color w:val="000000"/>
                      </w:rPr>
                      <w:t xml:space="preserve">                           </w:t>
                    </w:r>
                    <w:r>
                      <w:rPr>
                        <w:rFonts w:cs="Arial"/>
                        <w:b/>
                        <w:color w:val="000000"/>
                      </w:rPr>
                      <w:tab/>
                      <w:t xml:space="preserve">              </w:t>
                    </w:r>
                    <w:r w:rsidRPr="00B4373F">
                      <w:rPr>
                        <w:rFonts w:cs="Arial"/>
                        <w:b/>
                        <w:color w:val="000000"/>
                      </w:rPr>
                      <w:t>nzfvc.org.nz</w:t>
                    </w:r>
                  </w:p>
                  <w:p w14:paraId="4E493C6E" w14:textId="77777777" w:rsidR="004B02AC" w:rsidRPr="00CB4999" w:rsidRDefault="004B02AC" w:rsidP="0098586C"/>
                  <w:p w14:paraId="6AA03342" w14:textId="77777777" w:rsidR="004B02AC" w:rsidRPr="00B4373F" w:rsidRDefault="004B02AC"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1EDB4904" w14:textId="77777777" w:rsidR="004B02AC" w:rsidRPr="00CB4999" w:rsidRDefault="004B02AC" w:rsidP="0098586C"/>
                </w:txbxContent>
              </v:textbox>
            </v:shape>
          </w:pict>
        </mc:Fallback>
      </mc:AlternateContent>
    </w:r>
    <w:r>
      <w:rPr>
        <w:noProof/>
        <w:lang w:val="en-NZ" w:eastAsia="en-NZ"/>
      </w:rPr>
      <w:drawing>
        <wp:anchor distT="0" distB="0" distL="114300" distR="114300" simplePos="0" relativeHeight="251655168" behindDoc="1" locked="0" layoutInCell="1" allowOverlap="1" wp14:anchorId="3036B0E2" wp14:editId="3D2C8938">
          <wp:simplePos x="0" y="0"/>
          <wp:positionH relativeFrom="page">
            <wp:posOffset>-1517650</wp:posOffset>
          </wp:positionH>
          <wp:positionV relativeFrom="page">
            <wp:posOffset>9350375</wp:posOffset>
          </wp:positionV>
          <wp:extent cx="9103995" cy="1365250"/>
          <wp:effectExtent l="0" t="0" r="1905" b="6350"/>
          <wp:wrapNone/>
          <wp:docPr id="6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F21B" w14:textId="77777777" w:rsidR="00B032C0" w:rsidRDefault="00B032C0">
      <w:r>
        <w:separator/>
      </w:r>
    </w:p>
  </w:footnote>
  <w:footnote w:type="continuationSeparator" w:id="0">
    <w:p w14:paraId="182E33E2" w14:textId="77777777" w:rsidR="00B032C0" w:rsidRDefault="00B0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582"/>
      <w:gridCol w:w="9276"/>
    </w:tblGrid>
    <w:tr w:rsidR="004B02AC" w14:paraId="61316CC5" w14:textId="77777777">
      <w:tc>
        <w:tcPr>
          <w:tcW w:w="295" w:type="pct"/>
          <w:tcBorders>
            <w:right w:val="single" w:sz="18" w:space="0" w:color="4F81BD"/>
          </w:tcBorders>
        </w:tcPr>
        <w:p w14:paraId="3AD4C887" w14:textId="781D6B74" w:rsidR="004B02AC" w:rsidRPr="00F2281B" w:rsidRDefault="004B02AC" w:rsidP="0098586C">
          <w:pPr>
            <w:pStyle w:val="Header"/>
            <w:spacing w:before="240"/>
            <w:rPr>
              <w:rFonts w:ascii="Calibri"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234567">
            <w:rPr>
              <w:rFonts w:ascii="Calibri" w:hAnsi="Calibri"/>
              <w:b/>
              <w:noProof/>
              <w:color w:val="4F81BD"/>
              <w:lang w:val="en-NZ" w:eastAsia="en-US"/>
            </w:rPr>
            <w:t>2</w:t>
          </w:r>
          <w:r w:rsidRPr="00F2281B">
            <w:rPr>
              <w:rFonts w:ascii="Calibri" w:hAnsi="Calibri"/>
              <w:b/>
              <w:color w:val="4F81BD"/>
              <w:lang w:val="en-NZ" w:eastAsia="en-US"/>
            </w:rPr>
            <w:fldChar w:fldCharType="end"/>
          </w:r>
        </w:p>
      </w:tc>
      <w:tc>
        <w:tcPr>
          <w:tcW w:w="4705" w:type="pct"/>
          <w:tcBorders>
            <w:left w:val="single" w:sz="18" w:space="0" w:color="4F81BD"/>
          </w:tcBorders>
        </w:tcPr>
        <w:p w14:paraId="101DC594" w14:textId="27D0CEEA" w:rsidR="004B02AC" w:rsidRPr="005171B2" w:rsidRDefault="004B02AC" w:rsidP="00187209">
          <w:pPr>
            <w:pStyle w:val="Header"/>
            <w:spacing w:before="240"/>
            <w:rPr>
              <w:rFonts w:ascii="Calibri" w:eastAsia="Times New Roman" w:hAnsi="Calibri"/>
              <w:b/>
              <w:color w:val="4F81BD"/>
              <w:lang w:val="en-AU" w:eastAsia="en-US"/>
            </w:rPr>
          </w:pPr>
          <w:r>
            <w:rPr>
              <w:rFonts w:ascii="Calibri" w:eastAsia="Times New Roman" w:hAnsi="Calibri"/>
              <w:b/>
              <w:color w:val="4F81BD"/>
              <w:lang w:val="en-AU" w:eastAsia="en-US"/>
            </w:rPr>
            <w:t xml:space="preserve">Issues Paper 15       </w:t>
          </w:r>
        </w:p>
      </w:tc>
    </w:tr>
  </w:tbl>
  <w:p w14:paraId="4026AFA3" w14:textId="6EF346B2" w:rsidR="004B02AC" w:rsidRPr="00EA394A" w:rsidRDefault="004B02AC" w:rsidP="001B4793">
    <w:pPr>
      <w:pStyle w:val="Header"/>
      <w:tabs>
        <w:tab w:val="left" w:pos="4279"/>
      </w:tabs>
      <w:jc w:val="center"/>
      <w:rPr>
        <w:rFonts w:ascii="Calibri" w:hAnsi="Calibri"/>
        <w:b/>
        <w:sz w:val="28"/>
        <w:lang w:val="mi-N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9369"/>
      <w:gridCol w:w="489"/>
    </w:tblGrid>
    <w:tr w:rsidR="004B02AC" w14:paraId="67032C61" w14:textId="77777777">
      <w:tc>
        <w:tcPr>
          <w:tcW w:w="4752" w:type="pct"/>
          <w:tcBorders>
            <w:right w:val="single" w:sz="18" w:space="0" w:color="4F81BD"/>
          </w:tcBorders>
        </w:tcPr>
        <w:p w14:paraId="7DBC0801" w14:textId="0BDB1C5B" w:rsidR="004B02AC" w:rsidRPr="00F2281B" w:rsidRDefault="004B02AC" w:rsidP="00187209">
          <w:pPr>
            <w:pStyle w:val="Header"/>
            <w:spacing w:before="240"/>
            <w:jc w:val="right"/>
            <w:rPr>
              <w:rFonts w:ascii="Calibri" w:hAnsi="Calibri"/>
              <w:b/>
              <w:color w:val="4F81BD"/>
              <w:lang w:val="en-NZ" w:eastAsia="en-US"/>
            </w:rPr>
          </w:pPr>
          <w:r>
            <w:rPr>
              <w:rFonts w:ascii="Calibri" w:eastAsia="Times New Roman" w:hAnsi="Calibri"/>
              <w:b/>
              <w:color w:val="000000"/>
              <w:sz w:val="28"/>
              <w:lang w:val="en-AU" w:eastAsia="en-US"/>
            </w:rPr>
            <w:t xml:space="preserve">           </w:t>
          </w:r>
          <w:r>
            <w:rPr>
              <w:rFonts w:ascii="Calibri" w:eastAsia="Times New Roman" w:hAnsi="Calibri"/>
              <w:b/>
              <w:color w:val="4F81BD"/>
              <w:lang w:val="en-AU" w:eastAsia="en-US"/>
            </w:rPr>
            <w:t>Issues Paper 15</w:t>
          </w:r>
        </w:p>
      </w:tc>
      <w:tc>
        <w:tcPr>
          <w:tcW w:w="248" w:type="pct"/>
          <w:tcBorders>
            <w:left w:val="single" w:sz="18" w:space="0" w:color="4F81BD"/>
          </w:tcBorders>
        </w:tcPr>
        <w:p w14:paraId="318C1B61" w14:textId="20F55CC0" w:rsidR="004B02AC" w:rsidRPr="00F2281B" w:rsidRDefault="004B02AC" w:rsidP="0098586C">
          <w:pPr>
            <w:pStyle w:val="Header"/>
            <w:spacing w:before="240"/>
            <w:jc w:val="right"/>
            <w:rPr>
              <w:rFonts w:ascii="Calibri" w:eastAsia="Times New Roman"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234567">
            <w:rPr>
              <w:rFonts w:ascii="Calibri" w:hAnsi="Calibri"/>
              <w:b/>
              <w:noProof/>
              <w:color w:val="4F81BD"/>
              <w:lang w:val="en-NZ" w:eastAsia="en-US"/>
            </w:rPr>
            <w:t>3</w:t>
          </w:r>
          <w:r w:rsidRPr="00F2281B">
            <w:rPr>
              <w:rFonts w:ascii="Calibri" w:hAnsi="Calibri"/>
              <w:b/>
              <w:color w:val="4F81BD"/>
              <w:lang w:val="en-NZ" w:eastAsia="en-US"/>
            </w:rPr>
            <w:fldChar w:fldCharType="end"/>
          </w:r>
        </w:p>
      </w:tc>
    </w:tr>
  </w:tbl>
  <w:p w14:paraId="7FCA84C3" w14:textId="2A62BC45" w:rsidR="004B02AC" w:rsidRPr="00EA394A" w:rsidRDefault="004B02AC" w:rsidP="00B13B85">
    <w:pPr>
      <w:pStyle w:val="Header"/>
      <w:tabs>
        <w:tab w:val="left" w:pos="4279"/>
      </w:tabs>
      <w:jc w:val="center"/>
      <w:rPr>
        <w:rFonts w:ascii="Calibri" w:hAnsi="Calibri"/>
        <w:b/>
        <w:sz w:val="28"/>
        <w:lang w:val="mi-N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F642" w14:textId="77777777" w:rsidR="004B02AC" w:rsidRDefault="004B02AC" w:rsidP="0098586C">
    <w:pPr>
      <w:pStyle w:val="Header"/>
    </w:pPr>
    <w:r>
      <w:rPr>
        <w:noProof/>
        <w:lang w:val="en-NZ" w:eastAsia="en-NZ"/>
      </w:rPr>
      <mc:AlternateContent>
        <mc:Choice Requires="wps">
          <w:drawing>
            <wp:anchor distT="0" distB="0" distL="114300" distR="114300" simplePos="0" relativeHeight="251660288" behindDoc="0" locked="0" layoutInCell="1" allowOverlap="1" wp14:anchorId="617FD0AC" wp14:editId="7F754201">
              <wp:simplePos x="0" y="0"/>
              <wp:positionH relativeFrom="column">
                <wp:posOffset>4850130</wp:posOffset>
              </wp:positionH>
              <wp:positionV relativeFrom="paragraph">
                <wp:posOffset>97790</wp:posOffset>
              </wp:positionV>
              <wp:extent cx="1516380" cy="9398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F840" w14:textId="64C21C0E" w:rsidR="004B02AC" w:rsidRPr="00951867" w:rsidRDefault="004B02AC" w:rsidP="004450EF">
                          <w:pPr>
                            <w:spacing w:before="240" w:line="360" w:lineRule="auto"/>
                            <w:rPr>
                              <w:b/>
                              <w:color w:val="FFFFFF"/>
                            </w:rPr>
                          </w:pPr>
                          <w:r w:rsidRPr="00951867">
                            <w:rPr>
                              <w:b/>
                              <w:color w:val="FFFFFF"/>
                            </w:rPr>
                            <w:t>Issues Paper</w:t>
                          </w:r>
                          <w:r>
                            <w:rPr>
                              <w:b/>
                              <w:color w:val="FFFFFF"/>
                            </w:rPr>
                            <w:t xml:space="preserve"> 15</w:t>
                          </w:r>
                          <w:r>
                            <w:rPr>
                              <w:b/>
                              <w:color w:val="FFFFFF"/>
                            </w:rPr>
                            <w:br/>
                            <w:t xml:space="preserve">October </w:t>
                          </w:r>
                          <w:r w:rsidRPr="00951867">
                            <w:rPr>
                              <w:b/>
                              <w:color w:val="FFFFFF"/>
                            </w:rPr>
                            <w:t>201</w:t>
                          </w:r>
                          <w:r>
                            <w:rPr>
                              <w:b/>
                              <w:color w:val="FFFFFF"/>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7FD0AC" id="_x0000_t202" coordsize="21600,21600" o:spt="202" path="m,l,21600r21600,l21600,xe">
              <v:stroke joinstyle="miter"/>
              <v:path gradientshapeok="t" o:connecttype="rect"/>
            </v:shapetype>
            <v:shape id="Text Box 26" o:spid="_x0000_s1034" type="#_x0000_t202" style="position:absolute;margin-left:381.9pt;margin-top:7.7pt;width:119.4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2itgIAAME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" filled="f" stroked="f">
              <v:textbox inset=",7.2pt,,7.2pt">
                <w:txbxContent>
                  <w:p w14:paraId="1276F840" w14:textId="64C21C0E" w:rsidR="004B02AC" w:rsidRPr="00951867" w:rsidRDefault="004B02AC" w:rsidP="004450EF">
                    <w:pPr>
                      <w:spacing w:before="240" w:line="360" w:lineRule="auto"/>
                      <w:rPr>
                        <w:b/>
                        <w:color w:val="FFFFFF"/>
                      </w:rPr>
                    </w:pPr>
                    <w:r w:rsidRPr="00951867">
                      <w:rPr>
                        <w:b/>
                        <w:color w:val="FFFFFF"/>
                      </w:rPr>
                      <w:t>Issues Paper</w:t>
                    </w:r>
                    <w:r>
                      <w:rPr>
                        <w:b/>
                        <w:color w:val="FFFFFF"/>
                      </w:rPr>
                      <w:t xml:space="preserve"> 15</w:t>
                    </w:r>
                    <w:r>
                      <w:rPr>
                        <w:b/>
                        <w:color w:val="FFFFFF"/>
                      </w:rPr>
                      <w:br/>
                      <w:t xml:space="preserve">October </w:t>
                    </w:r>
                    <w:r w:rsidRPr="00951867">
                      <w:rPr>
                        <w:b/>
                        <w:color w:val="FFFFFF"/>
                      </w:rPr>
                      <w:t>201</w:t>
                    </w:r>
                    <w:r>
                      <w:rPr>
                        <w:b/>
                        <w:color w:val="FFFFFF"/>
                      </w:rPr>
                      <w:t>9</w:t>
                    </w:r>
                  </w:p>
                </w:txbxContent>
              </v:textbox>
            </v:shape>
          </w:pict>
        </mc:Fallback>
      </mc:AlternateContent>
    </w:r>
    <w:r>
      <w:rPr>
        <w:noProof/>
        <w:lang w:val="en-NZ" w:eastAsia="en-NZ"/>
      </w:rPr>
      <mc:AlternateContent>
        <mc:Choice Requires="wps">
          <w:drawing>
            <wp:anchor distT="0" distB="0" distL="114300" distR="114300" simplePos="0" relativeHeight="251659264" behindDoc="0" locked="0" layoutInCell="1" allowOverlap="1" wp14:anchorId="5072134D" wp14:editId="435B6363">
              <wp:simplePos x="0" y="0"/>
              <wp:positionH relativeFrom="column">
                <wp:posOffset>3895725</wp:posOffset>
              </wp:positionH>
              <wp:positionV relativeFrom="paragraph">
                <wp:posOffset>-732790</wp:posOffset>
              </wp:positionV>
              <wp:extent cx="2114550" cy="847725"/>
              <wp:effectExtent l="0" t="0" r="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0E17" w14:textId="77777777" w:rsidR="004B02AC" w:rsidRDefault="004B02AC" w:rsidP="0098586C">
                          <w:pPr>
                            <w:spacing w:before="120"/>
                          </w:pPr>
                          <w:r w:rsidRPr="00951867">
                            <w:rPr>
                              <w:b/>
                              <w:color w:val="FFFFFF"/>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72134D" id="Text Box 27" o:spid="_x0000_s1035" type="#_x0000_t202" style="position:absolute;margin-left:306.75pt;margin-top:-57.7pt;width:166.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wC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" filled="f" stroked="f">
              <v:textbox>
                <w:txbxContent>
                  <w:p w14:paraId="1D7F0E17" w14:textId="77777777" w:rsidR="004B02AC" w:rsidRDefault="004B02AC" w:rsidP="0098586C">
                    <w:pPr>
                      <w:spacing w:before="120"/>
                    </w:pPr>
                    <w:r w:rsidRPr="00951867">
                      <w:rPr>
                        <w:b/>
                        <w:color w:val="FFFFFF"/>
                      </w:rPr>
                      <w:t>Is</w:t>
                    </w:r>
                  </w:p>
                </w:txbxContent>
              </v:textbox>
            </v:shape>
          </w:pict>
        </mc:Fallback>
      </mc:AlternateContent>
    </w:r>
  </w:p>
  <w:p w14:paraId="4B142D46" w14:textId="77777777" w:rsidR="004B02AC" w:rsidRDefault="004B02AC" w:rsidP="0098586C">
    <w:r>
      <w:rPr>
        <w:noProof/>
        <w:lang w:eastAsia="en-NZ"/>
      </w:rPr>
      <w:drawing>
        <wp:anchor distT="0" distB="0" distL="114300" distR="114300" simplePos="0" relativeHeight="251661312" behindDoc="1" locked="0" layoutInCell="1" allowOverlap="1" wp14:anchorId="2400B4D1" wp14:editId="4A258653">
          <wp:simplePos x="0" y="0"/>
          <wp:positionH relativeFrom="page">
            <wp:posOffset>0</wp:posOffset>
          </wp:positionH>
          <wp:positionV relativeFrom="page">
            <wp:posOffset>0</wp:posOffset>
          </wp:positionV>
          <wp:extent cx="7509510" cy="1132205"/>
          <wp:effectExtent l="0" t="0" r="0" b="0"/>
          <wp:wrapNone/>
          <wp:docPr id="63" name="Picture 2" descr="logofo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or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9B477" w14:textId="77777777" w:rsidR="004B02AC" w:rsidRPr="008D06E4" w:rsidRDefault="004B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4652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KeyMessages"/>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5765C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C02F2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063BED"/>
    <w:multiLevelType w:val="hybridMultilevel"/>
    <w:tmpl w:val="81783F38"/>
    <w:lvl w:ilvl="0" w:tplc="14090001">
      <w:start w:val="1"/>
      <w:numFmt w:val="bullet"/>
      <w:lvlText w:val=""/>
      <w:lvlJc w:val="left"/>
      <w:pPr>
        <w:ind w:left="360" w:hanging="360"/>
      </w:pPr>
      <w:rPr>
        <w:rFonts w:ascii="Symbol" w:hAnsi="Symbol" w:hint="default"/>
      </w:rPr>
    </w:lvl>
    <w:lvl w:ilvl="1" w:tplc="E7D452FA">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57A55EE"/>
    <w:multiLevelType w:val="hybridMultilevel"/>
    <w:tmpl w:val="2B76C27C"/>
    <w:lvl w:ilvl="0" w:tplc="BB565E3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5855F84"/>
    <w:multiLevelType w:val="hybridMultilevel"/>
    <w:tmpl w:val="60527D20"/>
    <w:lvl w:ilvl="0" w:tplc="E7D452F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73C357D"/>
    <w:multiLevelType w:val="hybridMultilevel"/>
    <w:tmpl w:val="842053CC"/>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7" w15:restartNumberingAfterBreak="0">
    <w:nsid w:val="13235ED4"/>
    <w:multiLevelType w:val="hybridMultilevel"/>
    <w:tmpl w:val="076E5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E8433B"/>
    <w:multiLevelType w:val="hybridMultilevel"/>
    <w:tmpl w:val="DCDEE150"/>
    <w:lvl w:ilvl="0" w:tplc="229C381C">
      <w:start w:val="5"/>
      <w:numFmt w:val="bullet"/>
      <w:lvlText w:val="-"/>
      <w:lvlJc w:val="left"/>
      <w:pPr>
        <w:ind w:left="767" w:hanging="360"/>
      </w:pPr>
      <w:rPr>
        <w:rFonts w:ascii="Calibri" w:eastAsiaTheme="minorHAnsi" w:hAnsi="Calibri" w:cs="Calibri"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9" w15:restartNumberingAfterBreak="0">
    <w:nsid w:val="188F62D5"/>
    <w:multiLevelType w:val="hybridMultilevel"/>
    <w:tmpl w:val="BD4A4782"/>
    <w:lvl w:ilvl="0" w:tplc="20EEB7D0">
      <w:start w:val="1"/>
      <w:numFmt w:val="decimal"/>
      <w:pStyle w:val="NZFVC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83539"/>
    <w:multiLevelType w:val="hybridMultilevel"/>
    <w:tmpl w:val="5418AD90"/>
    <w:lvl w:ilvl="0" w:tplc="1A6C1E80">
      <w:start w:val="1"/>
      <w:numFmt w:val="bullet"/>
      <w:lvlText w:val="-"/>
      <w:lvlJc w:val="left"/>
      <w:pPr>
        <w:ind w:left="720"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1866EA"/>
    <w:multiLevelType w:val="multilevel"/>
    <w:tmpl w:val="58123FFC"/>
    <w:lvl w:ilvl="0">
      <w:start w:val="1"/>
      <w:numFmt w:val="decimal"/>
      <w:pStyle w:val="Heading1"/>
      <w:lvlText w:val="%1."/>
      <w:lvlJc w:val="left"/>
      <w:pPr>
        <w:ind w:left="720" w:hanging="360"/>
      </w:pPr>
      <w:rPr>
        <w:rFonts w:hint="default"/>
        <w:color w:val="1F497D"/>
        <w:sz w:val="32"/>
      </w:rPr>
    </w:lvl>
    <w:lvl w:ilvl="1">
      <w:start w:val="1"/>
      <w:numFmt w:val="decimal"/>
      <w:isLgl/>
      <w:lvlText w:val="%1.%2"/>
      <w:lvlJc w:val="left"/>
      <w:pPr>
        <w:ind w:left="6873"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2" w15:restartNumberingAfterBreak="0">
    <w:nsid w:val="20592CD7"/>
    <w:multiLevelType w:val="hybridMultilevel"/>
    <w:tmpl w:val="3F4CA788"/>
    <w:lvl w:ilvl="0" w:tplc="8CC4DBB4">
      <w:start w:val="1"/>
      <w:numFmt w:val="bullet"/>
      <w:pStyle w:val="NZFVC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530A8"/>
    <w:multiLevelType w:val="hybridMultilevel"/>
    <w:tmpl w:val="69B22D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2B66A1F"/>
    <w:multiLevelType w:val="hybridMultilevel"/>
    <w:tmpl w:val="0F024550"/>
    <w:lvl w:ilvl="0" w:tplc="229C381C">
      <w:start w:val="5"/>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3966A75"/>
    <w:multiLevelType w:val="hybridMultilevel"/>
    <w:tmpl w:val="8C1A5CBA"/>
    <w:lvl w:ilvl="0" w:tplc="14090001">
      <w:start w:val="1"/>
      <w:numFmt w:val="bullet"/>
      <w:lvlText w:val=""/>
      <w:lvlJc w:val="left"/>
      <w:pPr>
        <w:ind w:left="720" w:hanging="360"/>
      </w:pPr>
      <w:rPr>
        <w:rFonts w:ascii="Symbol" w:hAnsi="Symbol" w:hint="default"/>
      </w:rPr>
    </w:lvl>
    <w:lvl w:ilvl="1" w:tplc="AB94F08C">
      <w:numFmt w:val="bullet"/>
      <w:lvlText w:val="•"/>
      <w:lvlJc w:val="left"/>
      <w:pPr>
        <w:ind w:left="1440" w:hanging="36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8650D2"/>
    <w:multiLevelType w:val="hybridMultilevel"/>
    <w:tmpl w:val="F4D4F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FC782B"/>
    <w:multiLevelType w:val="hybridMultilevel"/>
    <w:tmpl w:val="DCEE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C28A5"/>
    <w:multiLevelType w:val="hybridMultilevel"/>
    <w:tmpl w:val="9190B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E93341"/>
    <w:multiLevelType w:val="hybridMultilevel"/>
    <w:tmpl w:val="1B1A2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90511C"/>
    <w:multiLevelType w:val="hybridMultilevel"/>
    <w:tmpl w:val="AE2ECC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360" w:hanging="360"/>
      </w:pPr>
      <w:rPr>
        <w:rFonts w:ascii="Symbol" w:hAnsi="Symbol" w:hint="default"/>
      </w:rPr>
    </w:lvl>
    <w:lvl w:ilvl="4" w:tplc="14090003">
      <w:start w:val="1"/>
      <w:numFmt w:val="bullet"/>
      <w:lvlText w:val="o"/>
      <w:lvlJc w:val="left"/>
      <w:pPr>
        <w:ind w:left="644"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3ECF3BEB"/>
    <w:multiLevelType w:val="hybridMultilevel"/>
    <w:tmpl w:val="F99EDA8E"/>
    <w:lvl w:ilvl="0" w:tplc="755A90BC">
      <w:start w:val="1"/>
      <w:numFmt w:val="lowerLetter"/>
      <w:lvlText w:val="(%1)"/>
      <w:lvlJc w:val="left"/>
      <w:pPr>
        <w:ind w:left="1110" w:hanging="3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4093148B"/>
    <w:multiLevelType w:val="hybridMultilevel"/>
    <w:tmpl w:val="9184FF18"/>
    <w:lvl w:ilvl="0" w:tplc="0AA6BD10">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171565F"/>
    <w:multiLevelType w:val="hybridMultilevel"/>
    <w:tmpl w:val="1114B2B0"/>
    <w:lvl w:ilvl="0" w:tplc="B0FE7654">
      <w:start w:val="1"/>
      <w:numFmt w:val="bullet"/>
      <w:lvlText w:val="—"/>
      <w:lvlJc w:val="left"/>
      <w:pPr>
        <w:ind w:left="720" w:hanging="360"/>
      </w:pPr>
      <w:rPr>
        <w:rFonts w:ascii="Arial" w:eastAsia="Cambr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D0A50"/>
    <w:multiLevelType w:val="multilevel"/>
    <w:tmpl w:val="9E406746"/>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4C940A6D"/>
    <w:multiLevelType w:val="hybridMultilevel"/>
    <w:tmpl w:val="33ACDC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CCA368F"/>
    <w:multiLevelType w:val="hybridMultilevel"/>
    <w:tmpl w:val="FF98145E"/>
    <w:lvl w:ilvl="0" w:tplc="229C381C">
      <w:start w:val="5"/>
      <w:numFmt w:val="bullet"/>
      <w:lvlText w:val="-"/>
      <w:lvlJc w:val="left"/>
      <w:pPr>
        <w:ind w:left="1440" w:hanging="360"/>
      </w:pPr>
      <w:rPr>
        <w:rFonts w:ascii="Calibri" w:eastAsiaTheme="minorHAnsi" w:hAnsi="Calibri" w:cs="Calibr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4E695F63"/>
    <w:multiLevelType w:val="hybridMultilevel"/>
    <w:tmpl w:val="E836E710"/>
    <w:lvl w:ilvl="0" w:tplc="5DE0C1DE">
      <w:start w:val="1"/>
      <w:numFmt w:val="bullet"/>
      <w:lvlText w:val="-"/>
      <w:lvlJc w:val="left"/>
      <w:pPr>
        <w:ind w:left="1080" w:hanging="360"/>
      </w:pPr>
      <w:rPr>
        <w:rFonts w:ascii="Arial" w:eastAsia="Calibri" w:hAnsi="Arial" w:cs="Arial" w:hint="default"/>
        <w:i/>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A8A278E"/>
    <w:multiLevelType w:val="hybridMultilevel"/>
    <w:tmpl w:val="4010F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DB3C19"/>
    <w:multiLevelType w:val="multilevel"/>
    <w:tmpl w:val="4C4EDA94"/>
    <w:styleLink w:val="Style2"/>
    <w:lvl w:ilvl="0">
      <w:start w:val="2"/>
      <w:numFmt w:val="decimal"/>
      <w:lvlText w:val="%1."/>
      <w:lvlJc w:val="left"/>
      <w:pPr>
        <w:ind w:left="720" w:hanging="360"/>
      </w:pPr>
      <w:rPr>
        <w:rFonts w:ascii="Arial" w:hAnsi="Arial" w:cs="Times New Roman" w:hint="default"/>
        <w:color w:val="1F497D"/>
        <w:sz w:val="32"/>
      </w:rPr>
    </w:lvl>
    <w:lvl w:ilvl="1">
      <w:start w:val="2"/>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30" w15:restartNumberingAfterBreak="0">
    <w:nsid w:val="5CD81539"/>
    <w:multiLevelType w:val="hybridMultilevel"/>
    <w:tmpl w:val="A77476F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4415C"/>
    <w:multiLevelType w:val="hybridMultilevel"/>
    <w:tmpl w:val="D67CEA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6187A92"/>
    <w:multiLevelType w:val="hybridMultilevel"/>
    <w:tmpl w:val="2E9EC9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8223325"/>
    <w:multiLevelType w:val="multilevel"/>
    <w:tmpl w:val="2B76C2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72BE431D"/>
    <w:multiLevelType w:val="hybridMultilevel"/>
    <w:tmpl w:val="4266D816"/>
    <w:lvl w:ilvl="0" w:tplc="14090001">
      <w:start w:val="1"/>
      <w:numFmt w:val="bullet"/>
      <w:lvlText w:val=""/>
      <w:lvlJc w:val="left"/>
      <w:pPr>
        <w:ind w:left="720" w:hanging="360"/>
      </w:pPr>
      <w:rPr>
        <w:rFonts w:ascii="Symbol" w:hAnsi="Symbol" w:hint="default"/>
      </w:rPr>
    </w:lvl>
    <w:lvl w:ilvl="1" w:tplc="0AA6BD10">
      <w:numFmt w:val="bullet"/>
      <w:lvlText w:val="-"/>
      <w:lvlJc w:val="left"/>
      <w:pPr>
        <w:ind w:left="1440" w:hanging="360"/>
      </w:pPr>
      <w:rPr>
        <w:rFonts w:ascii="Calibri" w:eastAsia="Calibr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AB2CCC"/>
    <w:multiLevelType w:val="multilevel"/>
    <w:tmpl w:val="B47CA5EA"/>
    <w:styleLink w:val="Style1"/>
    <w:lvl w:ilvl="0">
      <w:start w:val="1"/>
      <w:numFmt w:val="decimal"/>
      <w:lvlText w:val="%1."/>
      <w:lvlJc w:val="left"/>
      <w:pPr>
        <w:ind w:left="720" w:hanging="360"/>
      </w:pPr>
      <w:rPr>
        <w:rFonts w:ascii="Arial" w:hAnsi="Arial" w:cs="Times New Roman" w:hint="default"/>
        <w:color w:val="1F497D"/>
        <w:sz w:val="32"/>
      </w:rPr>
    </w:lvl>
    <w:lvl w:ilvl="1">
      <w:start w:val="1"/>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36" w15:restartNumberingAfterBreak="0">
    <w:nsid w:val="7863436A"/>
    <w:multiLevelType w:val="multilevel"/>
    <w:tmpl w:val="DD8E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CB349D"/>
    <w:multiLevelType w:val="multilevel"/>
    <w:tmpl w:val="56A68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E4311A5"/>
    <w:multiLevelType w:val="hybridMultilevel"/>
    <w:tmpl w:val="810AF208"/>
    <w:lvl w:ilvl="0" w:tplc="E7D452FA">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F86076C"/>
    <w:multiLevelType w:val="hybridMultilevel"/>
    <w:tmpl w:val="EB501EA4"/>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num w:numId="1">
    <w:abstractNumId w:val="0"/>
  </w:num>
  <w:num w:numId="2">
    <w:abstractNumId w:val="2"/>
  </w:num>
  <w:num w:numId="3">
    <w:abstractNumId w:val="35"/>
  </w:num>
  <w:num w:numId="4">
    <w:abstractNumId w:val="11"/>
  </w:num>
  <w:num w:numId="5">
    <w:abstractNumId w:val="29"/>
  </w:num>
  <w:num w:numId="6">
    <w:abstractNumId w:val="1"/>
  </w:num>
  <w:num w:numId="7">
    <w:abstractNumId w:val="9"/>
  </w:num>
  <w:num w:numId="8">
    <w:abstractNumId w:val="12"/>
  </w:num>
  <w:num w:numId="9">
    <w:abstractNumId w:val="20"/>
  </w:num>
  <w:num w:numId="10">
    <w:abstractNumId w:val="28"/>
  </w:num>
  <w:num w:numId="11">
    <w:abstractNumId w:val="26"/>
  </w:num>
  <w:num w:numId="12">
    <w:abstractNumId w:val="32"/>
  </w:num>
  <w:num w:numId="13">
    <w:abstractNumId w:val="8"/>
  </w:num>
  <w:num w:numId="14">
    <w:abstractNumId w:val="14"/>
  </w:num>
  <w:num w:numId="15">
    <w:abstractNumId w:val="18"/>
  </w:num>
  <w:num w:numId="16">
    <w:abstractNumId w:val="38"/>
  </w:num>
  <w:num w:numId="17">
    <w:abstractNumId w:val="31"/>
  </w:num>
  <w:num w:numId="18">
    <w:abstractNumId w:val="16"/>
  </w:num>
  <w:num w:numId="19">
    <w:abstractNumId w:val="13"/>
  </w:num>
  <w:num w:numId="20">
    <w:abstractNumId w:val="7"/>
  </w:num>
  <w:num w:numId="21">
    <w:abstractNumId w:val="25"/>
  </w:num>
  <w:num w:numId="22">
    <w:abstractNumId w:val="3"/>
  </w:num>
  <w:num w:numId="23">
    <w:abstractNumId w:val="24"/>
  </w:num>
  <w:num w:numId="24">
    <w:abstractNumId w:val="39"/>
  </w:num>
  <w:num w:numId="25">
    <w:abstractNumId w:val="6"/>
  </w:num>
  <w:num w:numId="26">
    <w:abstractNumId w:val="5"/>
  </w:num>
  <w:num w:numId="27">
    <w:abstractNumId w:val="21"/>
  </w:num>
  <w:num w:numId="28">
    <w:abstractNumId w:val="19"/>
  </w:num>
  <w:num w:numId="29">
    <w:abstractNumId w:val="15"/>
  </w:num>
  <w:num w:numId="30">
    <w:abstractNumId w:val="11"/>
  </w:num>
  <w:num w:numId="31">
    <w:abstractNumId w:val="23"/>
  </w:num>
  <w:num w:numId="32">
    <w:abstractNumId w:val="36"/>
  </w:num>
  <w:num w:numId="33">
    <w:abstractNumId w:val="30"/>
  </w:num>
  <w:num w:numId="34">
    <w:abstractNumId w:val="34"/>
  </w:num>
  <w:num w:numId="35">
    <w:abstractNumId w:val="22"/>
  </w:num>
  <w:num w:numId="36">
    <w:abstractNumId w:val="17"/>
  </w:num>
  <w:num w:numId="37">
    <w:abstractNumId w:val="37"/>
  </w:num>
  <w:num w:numId="38">
    <w:abstractNumId w:val="11"/>
  </w:num>
  <w:num w:numId="39">
    <w:abstractNumId w:val="10"/>
  </w:num>
  <w:num w:numId="40">
    <w:abstractNumId w:val="27"/>
  </w:num>
  <w:num w:numId="41">
    <w:abstractNumId w:val="4"/>
  </w:num>
  <w:num w:numId="4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19&lt;/Style&gt;&lt;LeftDelim&gt;{&lt;/LeftDelim&gt;&lt;RightDelim&gt;}&lt;/RightDelim&gt;&lt;FontName&gt;Arial&lt;/FontName&gt;&lt;FontSize&gt;10&lt;/FontSize&gt;&lt;ReflistTit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wt9z9x0ktswpvet5awpewfvsz5tsd22wfda&quot;&gt;NZFVCH Issues Paper Ethnic Violence Copy 5 3 19&lt;record-ids&gt;&lt;item&gt;21&lt;/item&gt;&lt;/record-ids&gt;&lt;/item&gt;&lt;/Libraries&gt;"/>
  </w:docVars>
  <w:rsids>
    <w:rsidRoot w:val="00486D4B"/>
    <w:rsid w:val="000022DF"/>
    <w:rsid w:val="00002DDA"/>
    <w:rsid w:val="0000355B"/>
    <w:rsid w:val="000046ED"/>
    <w:rsid w:val="0000479F"/>
    <w:rsid w:val="00004FEF"/>
    <w:rsid w:val="00005EE2"/>
    <w:rsid w:val="00015464"/>
    <w:rsid w:val="0001792D"/>
    <w:rsid w:val="0002061B"/>
    <w:rsid w:val="000207B8"/>
    <w:rsid w:val="00022755"/>
    <w:rsid w:val="00023B54"/>
    <w:rsid w:val="00026047"/>
    <w:rsid w:val="00026923"/>
    <w:rsid w:val="00026D24"/>
    <w:rsid w:val="00031533"/>
    <w:rsid w:val="00031749"/>
    <w:rsid w:val="0003286D"/>
    <w:rsid w:val="00032B62"/>
    <w:rsid w:val="00033866"/>
    <w:rsid w:val="00033D4C"/>
    <w:rsid w:val="00041161"/>
    <w:rsid w:val="000416D6"/>
    <w:rsid w:val="00042200"/>
    <w:rsid w:val="0004289D"/>
    <w:rsid w:val="00042A63"/>
    <w:rsid w:val="00042ABD"/>
    <w:rsid w:val="00042BC1"/>
    <w:rsid w:val="000453DF"/>
    <w:rsid w:val="0004558D"/>
    <w:rsid w:val="00046F32"/>
    <w:rsid w:val="00051F1F"/>
    <w:rsid w:val="00053F15"/>
    <w:rsid w:val="00054EED"/>
    <w:rsid w:val="00055358"/>
    <w:rsid w:val="000555B8"/>
    <w:rsid w:val="000569ED"/>
    <w:rsid w:val="000574DC"/>
    <w:rsid w:val="0006237F"/>
    <w:rsid w:val="00062B0E"/>
    <w:rsid w:val="00063A04"/>
    <w:rsid w:val="00064720"/>
    <w:rsid w:val="00064C46"/>
    <w:rsid w:val="00065CF1"/>
    <w:rsid w:val="00066ABF"/>
    <w:rsid w:val="000679A4"/>
    <w:rsid w:val="000719EF"/>
    <w:rsid w:val="0007238A"/>
    <w:rsid w:val="0007257A"/>
    <w:rsid w:val="00074432"/>
    <w:rsid w:val="0007547D"/>
    <w:rsid w:val="00075D4D"/>
    <w:rsid w:val="00076D6C"/>
    <w:rsid w:val="000770C9"/>
    <w:rsid w:val="00077308"/>
    <w:rsid w:val="00080998"/>
    <w:rsid w:val="00080F33"/>
    <w:rsid w:val="00081018"/>
    <w:rsid w:val="00081277"/>
    <w:rsid w:val="000820EB"/>
    <w:rsid w:val="00084875"/>
    <w:rsid w:val="0008635C"/>
    <w:rsid w:val="000874DB"/>
    <w:rsid w:val="00087F72"/>
    <w:rsid w:val="00091E2C"/>
    <w:rsid w:val="000926B6"/>
    <w:rsid w:val="00096E53"/>
    <w:rsid w:val="000970ED"/>
    <w:rsid w:val="00097280"/>
    <w:rsid w:val="0009757C"/>
    <w:rsid w:val="00097DB3"/>
    <w:rsid w:val="000A01A8"/>
    <w:rsid w:val="000A067B"/>
    <w:rsid w:val="000A3212"/>
    <w:rsid w:val="000A6CB1"/>
    <w:rsid w:val="000A70B5"/>
    <w:rsid w:val="000B00EA"/>
    <w:rsid w:val="000B0B6B"/>
    <w:rsid w:val="000B294E"/>
    <w:rsid w:val="000B5704"/>
    <w:rsid w:val="000B58C5"/>
    <w:rsid w:val="000C2FDC"/>
    <w:rsid w:val="000C3C78"/>
    <w:rsid w:val="000C4C95"/>
    <w:rsid w:val="000C5878"/>
    <w:rsid w:val="000C5DAD"/>
    <w:rsid w:val="000C7509"/>
    <w:rsid w:val="000D332E"/>
    <w:rsid w:val="000D3330"/>
    <w:rsid w:val="000D3929"/>
    <w:rsid w:val="000D42D5"/>
    <w:rsid w:val="000D6784"/>
    <w:rsid w:val="000E1126"/>
    <w:rsid w:val="000E4584"/>
    <w:rsid w:val="000E46D0"/>
    <w:rsid w:val="000E4DF8"/>
    <w:rsid w:val="000E56EF"/>
    <w:rsid w:val="000E6BB3"/>
    <w:rsid w:val="000E79A5"/>
    <w:rsid w:val="000F0807"/>
    <w:rsid w:val="000F10DF"/>
    <w:rsid w:val="00102A5F"/>
    <w:rsid w:val="00103523"/>
    <w:rsid w:val="00103E58"/>
    <w:rsid w:val="00103F57"/>
    <w:rsid w:val="00104275"/>
    <w:rsid w:val="00105002"/>
    <w:rsid w:val="0010652E"/>
    <w:rsid w:val="0010751E"/>
    <w:rsid w:val="001104C3"/>
    <w:rsid w:val="00110E9A"/>
    <w:rsid w:val="00111556"/>
    <w:rsid w:val="00111D50"/>
    <w:rsid w:val="0011302E"/>
    <w:rsid w:val="0011336F"/>
    <w:rsid w:val="0011347C"/>
    <w:rsid w:val="0011449F"/>
    <w:rsid w:val="001153C1"/>
    <w:rsid w:val="0011624B"/>
    <w:rsid w:val="0011641F"/>
    <w:rsid w:val="001172E2"/>
    <w:rsid w:val="00117CE3"/>
    <w:rsid w:val="00121A7B"/>
    <w:rsid w:val="00121B49"/>
    <w:rsid w:val="00122DB3"/>
    <w:rsid w:val="00122F45"/>
    <w:rsid w:val="00123BB2"/>
    <w:rsid w:val="00123FA9"/>
    <w:rsid w:val="001241FB"/>
    <w:rsid w:val="001256BC"/>
    <w:rsid w:val="001256F3"/>
    <w:rsid w:val="00126DD7"/>
    <w:rsid w:val="0012799F"/>
    <w:rsid w:val="001327EC"/>
    <w:rsid w:val="00133C09"/>
    <w:rsid w:val="00133E28"/>
    <w:rsid w:val="00134EC0"/>
    <w:rsid w:val="00137F96"/>
    <w:rsid w:val="001408A3"/>
    <w:rsid w:val="001417C7"/>
    <w:rsid w:val="001428B0"/>
    <w:rsid w:val="001438FC"/>
    <w:rsid w:val="001439E3"/>
    <w:rsid w:val="00143BC3"/>
    <w:rsid w:val="00144E69"/>
    <w:rsid w:val="00146266"/>
    <w:rsid w:val="001477E8"/>
    <w:rsid w:val="00147ABB"/>
    <w:rsid w:val="001507EC"/>
    <w:rsid w:val="0015305F"/>
    <w:rsid w:val="00155258"/>
    <w:rsid w:val="001559F8"/>
    <w:rsid w:val="001563BC"/>
    <w:rsid w:val="0015739B"/>
    <w:rsid w:val="00161B7F"/>
    <w:rsid w:val="00163003"/>
    <w:rsid w:val="001631BD"/>
    <w:rsid w:val="001663B1"/>
    <w:rsid w:val="00174695"/>
    <w:rsid w:val="00174E43"/>
    <w:rsid w:val="001751E8"/>
    <w:rsid w:val="001757EF"/>
    <w:rsid w:val="00181167"/>
    <w:rsid w:val="00181D8E"/>
    <w:rsid w:val="0018203D"/>
    <w:rsid w:val="0018428D"/>
    <w:rsid w:val="00185102"/>
    <w:rsid w:val="00186D73"/>
    <w:rsid w:val="00187209"/>
    <w:rsid w:val="00191916"/>
    <w:rsid w:val="0019226E"/>
    <w:rsid w:val="00193D97"/>
    <w:rsid w:val="001945A6"/>
    <w:rsid w:val="001958B5"/>
    <w:rsid w:val="00196AC2"/>
    <w:rsid w:val="00197481"/>
    <w:rsid w:val="001A1C6F"/>
    <w:rsid w:val="001A29D5"/>
    <w:rsid w:val="001A2D5B"/>
    <w:rsid w:val="001A3B72"/>
    <w:rsid w:val="001A50EE"/>
    <w:rsid w:val="001A5546"/>
    <w:rsid w:val="001A6DA1"/>
    <w:rsid w:val="001A7480"/>
    <w:rsid w:val="001A75FF"/>
    <w:rsid w:val="001B40B6"/>
    <w:rsid w:val="001B4793"/>
    <w:rsid w:val="001B67D5"/>
    <w:rsid w:val="001C0408"/>
    <w:rsid w:val="001C152E"/>
    <w:rsid w:val="001C27A0"/>
    <w:rsid w:val="001C310D"/>
    <w:rsid w:val="001C38FF"/>
    <w:rsid w:val="001C3BC0"/>
    <w:rsid w:val="001C3DE7"/>
    <w:rsid w:val="001C4B93"/>
    <w:rsid w:val="001C7DC6"/>
    <w:rsid w:val="001D148E"/>
    <w:rsid w:val="001D344C"/>
    <w:rsid w:val="001D43D5"/>
    <w:rsid w:val="001D453C"/>
    <w:rsid w:val="001D4612"/>
    <w:rsid w:val="001D4F91"/>
    <w:rsid w:val="001D5140"/>
    <w:rsid w:val="001D6A8F"/>
    <w:rsid w:val="001E03C6"/>
    <w:rsid w:val="001E048B"/>
    <w:rsid w:val="001E1A56"/>
    <w:rsid w:val="001E212D"/>
    <w:rsid w:val="001E2ABC"/>
    <w:rsid w:val="001E2DAB"/>
    <w:rsid w:val="001E2E5D"/>
    <w:rsid w:val="001E37FE"/>
    <w:rsid w:val="001E3817"/>
    <w:rsid w:val="001E516B"/>
    <w:rsid w:val="001E66D4"/>
    <w:rsid w:val="001E7396"/>
    <w:rsid w:val="001F289F"/>
    <w:rsid w:val="001F6AD0"/>
    <w:rsid w:val="00200B55"/>
    <w:rsid w:val="00201B89"/>
    <w:rsid w:val="00202A6F"/>
    <w:rsid w:val="002062F7"/>
    <w:rsid w:val="00211119"/>
    <w:rsid w:val="002117A0"/>
    <w:rsid w:val="0021250D"/>
    <w:rsid w:val="002143FC"/>
    <w:rsid w:val="0021680B"/>
    <w:rsid w:val="0021755C"/>
    <w:rsid w:val="00221171"/>
    <w:rsid w:val="00223721"/>
    <w:rsid w:val="00226C80"/>
    <w:rsid w:val="002278CF"/>
    <w:rsid w:val="0023003B"/>
    <w:rsid w:val="002307F6"/>
    <w:rsid w:val="00231062"/>
    <w:rsid w:val="0023361E"/>
    <w:rsid w:val="00233E5A"/>
    <w:rsid w:val="00234567"/>
    <w:rsid w:val="00234753"/>
    <w:rsid w:val="0023758A"/>
    <w:rsid w:val="00237B63"/>
    <w:rsid w:val="00240385"/>
    <w:rsid w:val="002422FA"/>
    <w:rsid w:val="00244309"/>
    <w:rsid w:val="00245774"/>
    <w:rsid w:val="00246156"/>
    <w:rsid w:val="00247794"/>
    <w:rsid w:val="0025003B"/>
    <w:rsid w:val="00250292"/>
    <w:rsid w:val="00250A5F"/>
    <w:rsid w:val="002520EB"/>
    <w:rsid w:val="002525CC"/>
    <w:rsid w:val="0025372B"/>
    <w:rsid w:val="00257C51"/>
    <w:rsid w:val="002617A6"/>
    <w:rsid w:val="002617C5"/>
    <w:rsid w:val="0026431D"/>
    <w:rsid w:val="00265F09"/>
    <w:rsid w:val="00267D95"/>
    <w:rsid w:val="00270A89"/>
    <w:rsid w:val="00272597"/>
    <w:rsid w:val="002727F5"/>
    <w:rsid w:val="00273423"/>
    <w:rsid w:val="002737FF"/>
    <w:rsid w:val="00273CC6"/>
    <w:rsid w:val="00273FEF"/>
    <w:rsid w:val="00275C5B"/>
    <w:rsid w:val="0027672E"/>
    <w:rsid w:val="00277B3C"/>
    <w:rsid w:val="00277D3C"/>
    <w:rsid w:val="00282352"/>
    <w:rsid w:val="002837D2"/>
    <w:rsid w:val="00283AAB"/>
    <w:rsid w:val="0028414A"/>
    <w:rsid w:val="00284A9F"/>
    <w:rsid w:val="00284B89"/>
    <w:rsid w:val="0028655C"/>
    <w:rsid w:val="002868C8"/>
    <w:rsid w:val="00286BD3"/>
    <w:rsid w:val="0029099E"/>
    <w:rsid w:val="002914F9"/>
    <w:rsid w:val="002928A9"/>
    <w:rsid w:val="00292A08"/>
    <w:rsid w:val="00293DD4"/>
    <w:rsid w:val="00294155"/>
    <w:rsid w:val="0029497C"/>
    <w:rsid w:val="002954E8"/>
    <w:rsid w:val="002962FB"/>
    <w:rsid w:val="00296853"/>
    <w:rsid w:val="002A0945"/>
    <w:rsid w:val="002A136E"/>
    <w:rsid w:val="002A1E1B"/>
    <w:rsid w:val="002A1F02"/>
    <w:rsid w:val="002A363F"/>
    <w:rsid w:val="002A5E4A"/>
    <w:rsid w:val="002A63F8"/>
    <w:rsid w:val="002B3A86"/>
    <w:rsid w:val="002B4235"/>
    <w:rsid w:val="002B6372"/>
    <w:rsid w:val="002C1772"/>
    <w:rsid w:val="002C32A1"/>
    <w:rsid w:val="002C5124"/>
    <w:rsid w:val="002C534C"/>
    <w:rsid w:val="002C6879"/>
    <w:rsid w:val="002C6A52"/>
    <w:rsid w:val="002C7286"/>
    <w:rsid w:val="002C746A"/>
    <w:rsid w:val="002C7A83"/>
    <w:rsid w:val="002D29F7"/>
    <w:rsid w:val="002D314D"/>
    <w:rsid w:val="002D3454"/>
    <w:rsid w:val="002D3E9A"/>
    <w:rsid w:val="002D4561"/>
    <w:rsid w:val="002D5FED"/>
    <w:rsid w:val="002E17AF"/>
    <w:rsid w:val="002E2337"/>
    <w:rsid w:val="002E3248"/>
    <w:rsid w:val="002E445F"/>
    <w:rsid w:val="002E4B1D"/>
    <w:rsid w:val="002E4F44"/>
    <w:rsid w:val="002E601B"/>
    <w:rsid w:val="002E73D1"/>
    <w:rsid w:val="002F024F"/>
    <w:rsid w:val="002F104D"/>
    <w:rsid w:val="002F13AD"/>
    <w:rsid w:val="002F15C0"/>
    <w:rsid w:val="002F23FD"/>
    <w:rsid w:val="002F333F"/>
    <w:rsid w:val="002F3D58"/>
    <w:rsid w:val="002F4ED9"/>
    <w:rsid w:val="002F5B92"/>
    <w:rsid w:val="00300768"/>
    <w:rsid w:val="00300ACF"/>
    <w:rsid w:val="00301EC1"/>
    <w:rsid w:val="003022D7"/>
    <w:rsid w:val="00302A1C"/>
    <w:rsid w:val="00303095"/>
    <w:rsid w:val="00306B69"/>
    <w:rsid w:val="00306BB8"/>
    <w:rsid w:val="003101AB"/>
    <w:rsid w:val="003127B8"/>
    <w:rsid w:val="003127C6"/>
    <w:rsid w:val="00312D06"/>
    <w:rsid w:val="003146D8"/>
    <w:rsid w:val="003147F9"/>
    <w:rsid w:val="003163DE"/>
    <w:rsid w:val="00316F34"/>
    <w:rsid w:val="003211A8"/>
    <w:rsid w:val="00325B46"/>
    <w:rsid w:val="003264C5"/>
    <w:rsid w:val="0032707B"/>
    <w:rsid w:val="003276BD"/>
    <w:rsid w:val="003305DE"/>
    <w:rsid w:val="003311C8"/>
    <w:rsid w:val="00333BC4"/>
    <w:rsid w:val="00337623"/>
    <w:rsid w:val="00341626"/>
    <w:rsid w:val="00341F1C"/>
    <w:rsid w:val="00344755"/>
    <w:rsid w:val="0034476F"/>
    <w:rsid w:val="0034494B"/>
    <w:rsid w:val="00344A4D"/>
    <w:rsid w:val="003457A0"/>
    <w:rsid w:val="003462E2"/>
    <w:rsid w:val="003463F0"/>
    <w:rsid w:val="00350F9B"/>
    <w:rsid w:val="003528F9"/>
    <w:rsid w:val="003529AC"/>
    <w:rsid w:val="00353786"/>
    <w:rsid w:val="003538DE"/>
    <w:rsid w:val="00354C5D"/>
    <w:rsid w:val="00355618"/>
    <w:rsid w:val="00356188"/>
    <w:rsid w:val="003565D0"/>
    <w:rsid w:val="003573AA"/>
    <w:rsid w:val="00360987"/>
    <w:rsid w:val="00360E4B"/>
    <w:rsid w:val="0036156E"/>
    <w:rsid w:val="00363A49"/>
    <w:rsid w:val="00363AB3"/>
    <w:rsid w:val="00365FEE"/>
    <w:rsid w:val="003665C0"/>
    <w:rsid w:val="00366A91"/>
    <w:rsid w:val="00367D91"/>
    <w:rsid w:val="00372795"/>
    <w:rsid w:val="00373308"/>
    <w:rsid w:val="00373FA4"/>
    <w:rsid w:val="003744A3"/>
    <w:rsid w:val="00374806"/>
    <w:rsid w:val="00376699"/>
    <w:rsid w:val="003778B1"/>
    <w:rsid w:val="00377B06"/>
    <w:rsid w:val="00377B79"/>
    <w:rsid w:val="003810EB"/>
    <w:rsid w:val="003815EF"/>
    <w:rsid w:val="00381F5C"/>
    <w:rsid w:val="00382259"/>
    <w:rsid w:val="003833EA"/>
    <w:rsid w:val="00384E0D"/>
    <w:rsid w:val="003910E8"/>
    <w:rsid w:val="003932AC"/>
    <w:rsid w:val="00393C29"/>
    <w:rsid w:val="003947DC"/>
    <w:rsid w:val="003962D7"/>
    <w:rsid w:val="003966FE"/>
    <w:rsid w:val="003A1DF8"/>
    <w:rsid w:val="003A23C9"/>
    <w:rsid w:val="003A290A"/>
    <w:rsid w:val="003A3141"/>
    <w:rsid w:val="003A31B6"/>
    <w:rsid w:val="003A435D"/>
    <w:rsid w:val="003A5CA6"/>
    <w:rsid w:val="003A64DE"/>
    <w:rsid w:val="003A6717"/>
    <w:rsid w:val="003A6DFE"/>
    <w:rsid w:val="003A73E8"/>
    <w:rsid w:val="003B06D4"/>
    <w:rsid w:val="003B0D9D"/>
    <w:rsid w:val="003B1022"/>
    <w:rsid w:val="003B227B"/>
    <w:rsid w:val="003B2440"/>
    <w:rsid w:val="003B246C"/>
    <w:rsid w:val="003B2FB8"/>
    <w:rsid w:val="003B4174"/>
    <w:rsid w:val="003B4B7D"/>
    <w:rsid w:val="003B600E"/>
    <w:rsid w:val="003C058C"/>
    <w:rsid w:val="003C0AE6"/>
    <w:rsid w:val="003C1BDA"/>
    <w:rsid w:val="003C32F2"/>
    <w:rsid w:val="003C35B3"/>
    <w:rsid w:val="003C4003"/>
    <w:rsid w:val="003C46CF"/>
    <w:rsid w:val="003C5539"/>
    <w:rsid w:val="003C5EC5"/>
    <w:rsid w:val="003C747B"/>
    <w:rsid w:val="003D1C81"/>
    <w:rsid w:val="003D22E6"/>
    <w:rsid w:val="003D2EC2"/>
    <w:rsid w:val="003D38A1"/>
    <w:rsid w:val="003D672A"/>
    <w:rsid w:val="003D6D87"/>
    <w:rsid w:val="003D72DD"/>
    <w:rsid w:val="003E1654"/>
    <w:rsid w:val="003E216A"/>
    <w:rsid w:val="003E28A2"/>
    <w:rsid w:val="003E2F48"/>
    <w:rsid w:val="003E302D"/>
    <w:rsid w:val="003F011B"/>
    <w:rsid w:val="003F0CC8"/>
    <w:rsid w:val="003F317C"/>
    <w:rsid w:val="003F318E"/>
    <w:rsid w:val="003F4311"/>
    <w:rsid w:val="003F5E84"/>
    <w:rsid w:val="003F7826"/>
    <w:rsid w:val="003F7C82"/>
    <w:rsid w:val="00401E4C"/>
    <w:rsid w:val="0040366D"/>
    <w:rsid w:val="00405B87"/>
    <w:rsid w:val="00405C6B"/>
    <w:rsid w:val="004060DB"/>
    <w:rsid w:val="00406C5C"/>
    <w:rsid w:val="00410770"/>
    <w:rsid w:val="004108F4"/>
    <w:rsid w:val="00411E10"/>
    <w:rsid w:val="0041429B"/>
    <w:rsid w:val="004159D8"/>
    <w:rsid w:val="0041687A"/>
    <w:rsid w:val="00422DA7"/>
    <w:rsid w:val="0042440B"/>
    <w:rsid w:val="00424D5C"/>
    <w:rsid w:val="00425458"/>
    <w:rsid w:val="00425705"/>
    <w:rsid w:val="00426F43"/>
    <w:rsid w:val="004300D3"/>
    <w:rsid w:val="00430581"/>
    <w:rsid w:val="00434873"/>
    <w:rsid w:val="00434914"/>
    <w:rsid w:val="00435E95"/>
    <w:rsid w:val="00436FA8"/>
    <w:rsid w:val="00437BD6"/>
    <w:rsid w:val="00441C52"/>
    <w:rsid w:val="00443BB6"/>
    <w:rsid w:val="004450EF"/>
    <w:rsid w:val="00445284"/>
    <w:rsid w:val="004459BD"/>
    <w:rsid w:val="004463A7"/>
    <w:rsid w:val="00451187"/>
    <w:rsid w:val="0045157C"/>
    <w:rsid w:val="00453CAB"/>
    <w:rsid w:val="00453F94"/>
    <w:rsid w:val="00454358"/>
    <w:rsid w:val="00456B84"/>
    <w:rsid w:val="00457512"/>
    <w:rsid w:val="00457CAA"/>
    <w:rsid w:val="00461E24"/>
    <w:rsid w:val="004623EA"/>
    <w:rsid w:val="00463E23"/>
    <w:rsid w:val="004653F9"/>
    <w:rsid w:val="00465595"/>
    <w:rsid w:val="00466CF5"/>
    <w:rsid w:val="00470485"/>
    <w:rsid w:val="004705EA"/>
    <w:rsid w:val="0047061C"/>
    <w:rsid w:val="004717CB"/>
    <w:rsid w:val="00473D83"/>
    <w:rsid w:val="004775B0"/>
    <w:rsid w:val="00480811"/>
    <w:rsid w:val="00482CDD"/>
    <w:rsid w:val="00486D4B"/>
    <w:rsid w:val="0048740D"/>
    <w:rsid w:val="004901B9"/>
    <w:rsid w:val="0049030E"/>
    <w:rsid w:val="0049288D"/>
    <w:rsid w:val="00492E88"/>
    <w:rsid w:val="004947DC"/>
    <w:rsid w:val="00494898"/>
    <w:rsid w:val="00495AE2"/>
    <w:rsid w:val="00497225"/>
    <w:rsid w:val="0049769D"/>
    <w:rsid w:val="004A06BA"/>
    <w:rsid w:val="004A1CBB"/>
    <w:rsid w:val="004A1EDE"/>
    <w:rsid w:val="004A2677"/>
    <w:rsid w:val="004A2717"/>
    <w:rsid w:val="004A2863"/>
    <w:rsid w:val="004A2871"/>
    <w:rsid w:val="004A4A88"/>
    <w:rsid w:val="004A58FE"/>
    <w:rsid w:val="004A7708"/>
    <w:rsid w:val="004B02AC"/>
    <w:rsid w:val="004B1753"/>
    <w:rsid w:val="004B186D"/>
    <w:rsid w:val="004B20DE"/>
    <w:rsid w:val="004B210B"/>
    <w:rsid w:val="004B310B"/>
    <w:rsid w:val="004B317D"/>
    <w:rsid w:val="004B3881"/>
    <w:rsid w:val="004B4389"/>
    <w:rsid w:val="004B4CE9"/>
    <w:rsid w:val="004B4E69"/>
    <w:rsid w:val="004B4FA6"/>
    <w:rsid w:val="004B5553"/>
    <w:rsid w:val="004B564C"/>
    <w:rsid w:val="004B6815"/>
    <w:rsid w:val="004B70D5"/>
    <w:rsid w:val="004C0E7D"/>
    <w:rsid w:val="004C2E17"/>
    <w:rsid w:val="004C394C"/>
    <w:rsid w:val="004C4AC0"/>
    <w:rsid w:val="004C4CD6"/>
    <w:rsid w:val="004C4E31"/>
    <w:rsid w:val="004C706E"/>
    <w:rsid w:val="004D005E"/>
    <w:rsid w:val="004D1B6B"/>
    <w:rsid w:val="004D2003"/>
    <w:rsid w:val="004D2621"/>
    <w:rsid w:val="004D2725"/>
    <w:rsid w:val="004D35C8"/>
    <w:rsid w:val="004D3660"/>
    <w:rsid w:val="004D5200"/>
    <w:rsid w:val="004D525F"/>
    <w:rsid w:val="004D59EB"/>
    <w:rsid w:val="004E0703"/>
    <w:rsid w:val="004E18A7"/>
    <w:rsid w:val="004E1CE5"/>
    <w:rsid w:val="004E39C8"/>
    <w:rsid w:val="004E5244"/>
    <w:rsid w:val="004E7020"/>
    <w:rsid w:val="004E70F8"/>
    <w:rsid w:val="004F0E04"/>
    <w:rsid w:val="004F1F14"/>
    <w:rsid w:val="004F3BF8"/>
    <w:rsid w:val="004F4C8A"/>
    <w:rsid w:val="004F4DF8"/>
    <w:rsid w:val="004F5E1F"/>
    <w:rsid w:val="004F6057"/>
    <w:rsid w:val="004F72A5"/>
    <w:rsid w:val="00500DBE"/>
    <w:rsid w:val="005015D3"/>
    <w:rsid w:val="00501F9A"/>
    <w:rsid w:val="005023C9"/>
    <w:rsid w:val="00502529"/>
    <w:rsid w:val="005030D8"/>
    <w:rsid w:val="00504DE6"/>
    <w:rsid w:val="00506F8B"/>
    <w:rsid w:val="005106CA"/>
    <w:rsid w:val="00511137"/>
    <w:rsid w:val="005115E6"/>
    <w:rsid w:val="0051161A"/>
    <w:rsid w:val="00511E40"/>
    <w:rsid w:val="00512756"/>
    <w:rsid w:val="00513F7A"/>
    <w:rsid w:val="0051599A"/>
    <w:rsid w:val="00515B2B"/>
    <w:rsid w:val="005171B2"/>
    <w:rsid w:val="005234FB"/>
    <w:rsid w:val="00523FD7"/>
    <w:rsid w:val="00524134"/>
    <w:rsid w:val="00524BD1"/>
    <w:rsid w:val="005251A3"/>
    <w:rsid w:val="00525225"/>
    <w:rsid w:val="0052546F"/>
    <w:rsid w:val="0052650E"/>
    <w:rsid w:val="00526E2C"/>
    <w:rsid w:val="00527226"/>
    <w:rsid w:val="00527A65"/>
    <w:rsid w:val="00531014"/>
    <w:rsid w:val="005335C2"/>
    <w:rsid w:val="0053422B"/>
    <w:rsid w:val="0053548B"/>
    <w:rsid w:val="005366A8"/>
    <w:rsid w:val="00537597"/>
    <w:rsid w:val="0054085C"/>
    <w:rsid w:val="00541BCD"/>
    <w:rsid w:val="005424CB"/>
    <w:rsid w:val="00542BCA"/>
    <w:rsid w:val="00544DEE"/>
    <w:rsid w:val="0054561A"/>
    <w:rsid w:val="00553EED"/>
    <w:rsid w:val="00554DF6"/>
    <w:rsid w:val="00555482"/>
    <w:rsid w:val="00556E11"/>
    <w:rsid w:val="005579F7"/>
    <w:rsid w:val="00557BC9"/>
    <w:rsid w:val="0056045F"/>
    <w:rsid w:val="005610C3"/>
    <w:rsid w:val="005612F5"/>
    <w:rsid w:val="00561AAA"/>
    <w:rsid w:val="00561FE3"/>
    <w:rsid w:val="005622B8"/>
    <w:rsid w:val="00562E69"/>
    <w:rsid w:val="005651DB"/>
    <w:rsid w:val="005666AB"/>
    <w:rsid w:val="00570C3E"/>
    <w:rsid w:val="0057237A"/>
    <w:rsid w:val="005741AF"/>
    <w:rsid w:val="00580B95"/>
    <w:rsid w:val="00581DC8"/>
    <w:rsid w:val="0058343B"/>
    <w:rsid w:val="00583BEA"/>
    <w:rsid w:val="005868A4"/>
    <w:rsid w:val="005869C0"/>
    <w:rsid w:val="00586B61"/>
    <w:rsid w:val="00592648"/>
    <w:rsid w:val="0059334A"/>
    <w:rsid w:val="00594F1E"/>
    <w:rsid w:val="00595D2C"/>
    <w:rsid w:val="00596F37"/>
    <w:rsid w:val="005A081B"/>
    <w:rsid w:val="005A2FB8"/>
    <w:rsid w:val="005A361C"/>
    <w:rsid w:val="005A405F"/>
    <w:rsid w:val="005A44C7"/>
    <w:rsid w:val="005A4C45"/>
    <w:rsid w:val="005A4F3A"/>
    <w:rsid w:val="005A5AFB"/>
    <w:rsid w:val="005A5C11"/>
    <w:rsid w:val="005A5E92"/>
    <w:rsid w:val="005A7A3B"/>
    <w:rsid w:val="005B0B3B"/>
    <w:rsid w:val="005B11A0"/>
    <w:rsid w:val="005B1370"/>
    <w:rsid w:val="005B17EB"/>
    <w:rsid w:val="005B2528"/>
    <w:rsid w:val="005B2C0A"/>
    <w:rsid w:val="005B2EA0"/>
    <w:rsid w:val="005B3ABB"/>
    <w:rsid w:val="005B6182"/>
    <w:rsid w:val="005B6D22"/>
    <w:rsid w:val="005C02B5"/>
    <w:rsid w:val="005C05B4"/>
    <w:rsid w:val="005C05B8"/>
    <w:rsid w:val="005C08A5"/>
    <w:rsid w:val="005C16E9"/>
    <w:rsid w:val="005C1916"/>
    <w:rsid w:val="005C26B4"/>
    <w:rsid w:val="005C46E6"/>
    <w:rsid w:val="005C503A"/>
    <w:rsid w:val="005C5ECA"/>
    <w:rsid w:val="005C60CC"/>
    <w:rsid w:val="005D0D12"/>
    <w:rsid w:val="005D2785"/>
    <w:rsid w:val="005D294E"/>
    <w:rsid w:val="005D32B1"/>
    <w:rsid w:val="005D3B53"/>
    <w:rsid w:val="005D44D0"/>
    <w:rsid w:val="005D450E"/>
    <w:rsid w:val="005D54B8"/>
    <w:rsid w:val="005D7204"/>
    <w:rsid w:val="005E1BEF"/>
    <w:rsid w:val="005E2053"/>
    <w:rsid w:val="005E2EEE"/>
    <w:rsid w:val="005E64ED"/>
    <w:rsid w:val="005E6652"/>
    <w:rsid w:val="005E7274"/>
    <w:rsid w:val="005E75ED"/>
    <w:rsid w:val="005E79AB"/>
    <w:rsid w:val="005F0744"/>
    <w:rsid w:val="005F0DEF"/>
    <w:rsid w:val="005F1EAD"/>
    <w:rsid w:val="005F264F"/>
    <w:rsid w:val="005F26E0"/>
    <w:rsid w:val="005F2A8B"/>
    <w:rsid w:val="005F3CA3"/>
    <w:rsid w:val="005F40FF"/>
    <w:rsid w:val="005F635F"/>
    <w:rsid w:val="006023ED"/>
    <w:rsid w:val="00602BA0"/>
    <w:rsid w:val="006034E5"/>
    <w:rsid w:val="0060364E"/>
    <w:rsid w:val="00603F0E"/>
    <w:rsid w:val="00604AEC"/>
    <w:rsid w:val="00605643"/>
    <w:rsid w:val="00605689"/>
    <w:rsid w:val="00605E23"/>
    <w:rsid w:val="00606F85"/>
    <w:rsid w:val="00607BAF"/>
    <w:rsid w:val="006102B2"/>
    <w:rsid w:val="006104D7"/>
    <w:rsid w:val="006117CD"/>
    <w:rsid w:val="00611DB9"/>
    <w:rsid w:val="00612A1A"/>
    <w:rsid w:val="00613A8C"/>
    <w:rsid w:val="00617E86"/>
    <w:rsid w:val="00620911"/>
    <w:rsid w:val="006242A2"/>
    <w:rsid w:val="00625638"/>
    <w:rsid w:val="0062566B"/>
    <w:rsid w:val="0062602C"/>
    <w:rsid w:val="00627C51"/>
    <w:rsid w:val="00630099"/>
    <w:rsid w:val="0063040F"/>
    <w:rsid w:val="00631B45"/>
    <w:rsid w:val="00631EF8"/>
    <w:rsid w:val="0063336C"/>
    <w:rsid w:val="00636FF7"/>
    <w:rsid w:val="006371F4"/>
    <w:rsid w:val="00642B1F"/>
    <w:rsid w:val="00643AAC"/>
    <w:rsid w:val="006464F7"/>
    <w:rsid w:val="0064729E"/>
    <w:rsid w:val="00647EBE"/>
    <w:rsid w:val="00647FD9"/>
    <w:rsid w:val="00650E68"/>
    <w:rsid w:val="00652D0E"/>
    <w:rsid w:val="006543F4"/>
    <w:rsid w:val="006548FA"/>
    <w:rsid w:val="00655388"/>
    <w:rsid w:val="006556C4"/>
    <w:rsid w:val="006619EC"/>
    <w:rsid w:val="006621A3"/>
    <w:rsid w:val="006626E7"/>
    <w:rsid w:val="00664832"/>
    <w:rsid w:val="00664CB1"/>
    <w:rsid w:val="0066794E"/>
    <w:rsid w:val="00670196"/>
    <w:rsid w:val="0067252C"/>
    <w:rsid w:val="00672547"/>
    <w:rsid w:val="00672581"/>
    <w:rsid w:val="006736DF"/>
    <w:rsid w:val="00673703"/>
    <w:rsid w:val="00674AB7"/>
    <w:rsid w:val="00674E13"/>
    <w:rsid w:val="00675267"/>
    <w:rsid w:val="006757DC"/>
    <w:rsid w:val="00675FA5"/>
    <w:rsid w:val="006773BA"/>
    <w:rsid w:val="00677E53"/>
    <w:rsid w:val="006802FE"/>
    <w:rsid w:val="006806AC"/>
    <w:rsid w:val="006807F5"/>
    <w:rsid w:val="00682493"/>
    <w:rsid w:val="00684006"/>
    <w:rsid w:val="0068546F"/>
    <w:rsid w:val="00685F7E"/>
    <w:rsid w:val="00686600"/>
    <w:rsid w:val="006907C5"/>
    <w:rsid w:val="00690D8D"/>
    <w:rsid w:val="006921A6"/>
    <w:rsid w:val="006921E7"/>
    <w:rsid w:val="006930A0"/>
    <w:rsid w:val="0069353E"/>
    <w:rsid w:val="00697D46"/>
    <w:rsid w:val="006A0141"/>
    <w:rsid w:val="006A0C78"/>
    <w:rsid w:val="006A1407"/>
    <w:rsid w:val="006A280F"/>
    <w:rsid w:val="006A3502"/>
    <w:rsid w:val="006A3A88"/>
    <w:rsid w:val="006A4B5A"/>
    <w:rsid w:val="006A6414"/>
    <w:rsid w:val="006A6668"/>
    <w:rsid w:val="006A7B3B"/>
    <w:rsid w:val="006B2121"/>
    <w:rsid w:val="006B3E78"/>
    <w:rsid w:val="006B4387"/>
    <w:rsid w:val="006B4B91"/>
    <w:rsid w:val="006B6D27"/>
    <w:rsid w:val="006B72C8"/>
    <w:rsid w:val="006C098D"/>
    <w:rsid w:val="006C2EC6"/>
    <w:rsid w:val="006C2F0B"/>
    <w:rsid w:val="006C3C70"/>
    <w:rsid w:val="006C52B4"/>
    <w:rsid w:val="006C65A6"/>
    <w:rsid w:val="006C7774"/>
    <w:rsid w:val="006C7C98"/>
    <w:rsid w:val="006D1404"/>
    <w:rsid w:val="006D2B14"/>
    <w:rsid w:val="006E04D8"/>
    <w:rsid w:val="006E13C8"/>
    <w:rsid w:val="006E17AD"/>
    <w:rsid w:val="006E1CDD"/>
    <w:rsid w:val="006E1E22"/>
    <w:rsid w:val="006E3245"/>
    <w:rsid w:val="006E6284"/>
    <w:rsid w:val="006E6448"/>
    <w:rsid w:val="006E6D4E"/>
    <w:rsid w:val="006E6F99"/>
    <w:rsid w:val="006F260C"/>
    <w:rsid w:val="006F30BC"/>
    <w:rsid w:val="006F4081"/>
    <w:rsid w:val="006F6F98"/>
    <w:rsid w:val="0070099A"/>
    <w:rsid w:val="00702546"/>
    <w:rsid w:val="00702E7C"/>
    <w:rsid w:val="007047DB"/>
    <w:rsid w:val="00704C32"/>
    <w:rsid w:val="0070782D"/>
    <w:rsid w:val="00710E47"/>
    <w:rsid w:val="007121A5"/>
    <w:rsid w:val="00712626"/>
    <w:rsid w:val="007136F5"/>
    <w:rsid w:val="00714CC3"/>
    <w:rsid w:val="007171BD"/>
    <w:rsid w:val="0071745D"/>
    <w:rsid w:val="007175B0"/>
    <w:rsid w:val="007227CB"/>
    <w:rsid w:val="00722A3E"/>
    <w:rsid w:val="00724A6E"/>
    <w:rsid w:val="00725CC4"/>
    <w:rsid w:val="00726969"/>
    <w:rsid w:val="00727244"/>
    <w:rsid w:val="00727DC8"/>
    <w:rsid w:val="00730287"/>
    <w:rsid w:val="00731AF0"/>
    <w:rsid w:val="0073297D"/>
    <w:rsid w:val="0073418F"/>
    <w:rsid w:val="00735EE4"/>
    <w:rsid w:val="0073724C"/>
    <w:rsid w:val="00737951"/>
    <w:rsid w:val="007416E7"/>
    <w:rsid w:val="00741DC8"/>
    <w:rsid w:val="00746678"/>
    <w:rsid w:val="00746BD8"/>
    <w:rsid w:val="00750783"/>
    <w:rsid w:val="00750D29"/>
    <w:rsid w:val="00760E99"/>
    <w:rsid w:val="00761283"/>
    <w:rsid w:val="00761A45"/>
    <w:rsid w:val="00762DA6"/>
    <w:rsid w:val="00763627"/>
    <w:rsid w:val="00763DEE"/>
    <w:rsid w:val="00763F90"/>
    <w:rsid w:val="00765778"/>
    <w:rsid w:val="00765EC3"/>
    <w:rsid w:val="007661C6"/>
    <w:rsid w:val="0077093B"/>
    <w:rsid w:val="00770DFC"/>
    <w:rsid w:val="00771092"/>
    <w:rsid w:val="00772035"/>
    <w:rsid w:val="0077225D"/>
    <w:rsid w:val="00775B52"/>
    <w:rsid w:val="00776388"/>
    <w:rsid w:val="00776D01"/>
    <w:rsid w:val="00777572"/>
    <w:rsid w:val="007815E4"/>
    <w:rsid w:val="007833D0"/>
    <w:rsid w:val="00783CF7"/>
    <w:rsid w:val="00785BB5"/>
    <w:rsid w:val="007862E5"/>
    <w:rsid w:val="0078645B"/>
    <w:rsid w:val="00790AD0"/>
    <w:rsid w:val="00792518"/>
    <w:rsid w:val="00792777"/>
    <w:rsid w:val="00794C0D"/>
    <w:rsid w:val="00795920"/>
    <w:rsid w:val="0079612B"/>
    <w:rsid w:val="00796ACD"/>
    <w:rsid w:val="00797447"/>
    <w:rsid w:val="007976BB"/>
    <w:rsid w:val="007A018C"/>
    <w:rsid w:val="007A05A8"/>
    <w:rsid w:val="007A17A6"/>
    <w:rsid w:val="007A2FCF"/>
    <w:rsid w:val="007A43AF"/>
    <w:rsid w:val="007A464B"/>
    <w:rsid w:val="007A497D"/>
    <w:rsid w:val="007A4D33"/>
    <w:rsid w:val="007A54AB"/>
    <w:rsid w:val="007A56CA"/>
    <w:rsid w:val="007A5764"/>
    <w:rsid w:val="007A679C"/>
    <w:rsid w:val="007B071D"/>
    <w:rsid w:val="007B0C82"/>
    <w:rsid w:val="007B10AD"/>
    <w:rsid w:val="007B16CD"/>
    <w:rsid w:val="007B781C"/>
    <w:rsid w:val="007B78C8"/>
    <w:rsid w:val="007C407D"/>
    <w:rsid w:val="007C4DCF"/>
    <w:rsid w:val="007C610A"/>
    <w:rsid w:val="007C6C4B"/>
    <w:rsid w:val="007C786A"/>
    <w:rsid w:val="007C7E2A"/>
    <w:rsid w:val="007D1175"/>
    <w:rsid w:val="007D182A"/>
    <w:rsid w:val="007D44C7"/>
    <w:rsid w:val="007D5B6D"/>
    <w:rsid w:val="007E00EE"/>
    <w:rsid w:val="007E2F2B"/>
    <w:rsid w:val="007E4D49"/>
    <w:rsid w:val="007E6ACE"/>
    <w:rsid w:val="007F1E2D"/>
    <w:rsid w:val="007F26B3"/>
    <w:rsid w:val="007F2A02"/>
    <w:rsid w:val="007F513D"/>
    <w:rsid w:val="008008A4"/>
    <w:rsid w:val="00803F47"/>
    <w:rsid w:val="00804E5D"/>
    <w:rsid w:val="008124BD"/>
    <w:rsid w:val="00813ACA"/>
    <w:rsid w:val="0081421B"/>
    <w:rsid w:val="008150BB"/>
    <w:rsid w:val="00817623"/>
    <w:rsid w:val="00817B85"/>
    <w:rsid w:val="00820647"/>
    <w:rsid w:val="00821B15"/>
    <w:rsid w:val="00826788"/>
    <w:rsid w:val="008277E3"/>
    <w:rsid w:val="0083040A"/>
    <w:rsid w:val="00832556"/>
    <w:rsid w:val="00832B11"/>
    <w:rsid w:val="00833C05"/>
    <w:rsid w:val="00833EF8"/>
    <w:rsid w:val="00834971"/>
    <w:rsid w:val="0084080C"/>
    <w:rsid w:val="0084154B"/>
    <w:rsid w:val="00842BE9"/>
    <w:rsid w:val="00842C4D"/>
    <w:rsid w:val="00843439"/>
    <w:rsid w:val="00845B20"/>
    <w:rsid w:val="00850476"/>
    <w:rsid w:val="008511EA"/>
    <w:rsid w:val="00852106"/>
    <w:rsid w:val="00854955"/>
    <w:rsid w:val="00854A2E"/>
    <w:rsid w:val="00855D78"/>
    <w:rsid w:val="00856257"/>
    <w:rsid w:val="0086034C"/>
    <w:rsid w:val="0086307B"/>
    <w:rsid w:val="00863ED9"/>
    <w:rsid w:val="00864A20"/>
    <w:rsid w:val="0086793F"/>
    <w:rsid w:val="00870446"/>
    <w:rsid w:val="00872284"/>
    <w:rsid w:val="00874154"/>
    <w:rsid w:val="00874562"/>
    <w:rsid w:val="00874E66"/>
    <w:rsid w:val="00875106"/>
    <w:rsid w:val="008759AC"/>
    <w:rsid w:val="00876F5F"/>
    <w:rsid w:val="008803ED"/>
    <w:rsid w:val="0088070C"/>
    <w:rsid w:val="00881033"/>
    <w:rsid w:val="00881626"/>
    <w:rsid w:val="0088442D"/>
    <w:rsid w:val="008846D9"/>
    <w:rsid w:val="00887D5A"/>
    <w:rsid w:val="00890189"/>
    <w:rsid w:val="00890F6B"/>
    <w:rsid w:val="00891930"/>
    <w:rsid w:val="00891BA0"/>
    <w:rsid w:val="0089275A"/>
    <w:rsid w:val="00892E7C"/>
    <w:rsid w:val="00893199"/>
    <w:rsid w:val="008938C4"/>
    <w:rsid w:val="00894B5E"/>
    <w:rsid w:val="0089543D"/>
    <w:rsid w:val="00895E64"/>
    <w:rsid w:val="00896D11"/>
    <w:rsid w:val="008A0E96"/>
    <w:rsid w:val="008A12CA"/>
    <w:rsid w:val="008A24FC"/>
    <w:rsid w:val="008A2CE6"/>
    <w:rsid w:val="008A2E38"/>
    <w:rsid w:val="008A3BD3"/>
    <w:rsid w:val="008A5291"/>
    <w:rsid w:val="008B0AD3"/>
    <w:rsid w:val="008B29E1"/>
    <w:rsid w:val="008B4B2A"/>
    <w:rsid w:val="008B597A"/>
    <w:rsid w:val="008B5F45"/>
    <w:rsid w:val="008B6061"/>
    <w:rsid w:val="008B645F"/>
    <w:rsid w:val="008B7E6D"/>
    <w:rsid w:val="008C0E71"/>
    <w:rsid w:val="008C10FA"/>
    <w:rsid w:val="008C1198"/>
    <w:rsid w:val="008C141E"/>
    <w:rsid w:val="008C3270"/>
    <w:rsid w:val="008C348D"/>
    <w:rsid w:val="008C4518"/>
    <w:rsid w:val="008C7525"/>
    <w:rsid w:val="008D2D3A"/>
    <w:rsid w:val="008D46DA"/>
    <w:rsid w:val="008D487A"/>
    <w:rsid w:val="008D4CA6"/>
    <w:rsid w:val="008D52DF"/>
    <w:rsid w:val="008D74E6"/>
    <w:rsid w:val="008E0081"/>
    <w:rsid w:val="008E0C28"/>
    <w:rsid w:val="008E1366"/>
    <w:rsid w:val="008E2A7E"/>
    <w:rsid w:val="008E2F4D"/>
    <w:rsid w:val="008E3012"/>
    <w:rsid w:val="008E5C06"/>
    <w:rsid w:val="008E679D"/>
    <w:rsid w:val="008E7329"/>
    <w:rsid w:val="008E7BE4"/>
    <w:rsid w:val="008F08EA"/>
    <w:rsid w:val="008F2844"/>
    <w:rsid w:val="008F37E5"/>
    <w:rsid w:val="008F39A5"/>
    <w:rsid w:val="008F5894"/>
    <w:rsid w:val="008F61D1"/>
    <w:rsid w:val="008F6C3B"/>
    <w:rsid w:val="009014B4"/>
    <w:rsid w:val="009029C5"/>
    <w:rsid w:val="00903F40"/>
    <w:rsid w:val="009070CA"/>
    <w:rsid w:val="00907CB6"/>
    <w:rsid w:val="00911DEC"/>
    <w:rsid w:val="00912742"/>
    <w:rsid w:val="00912943"/>
    <w:rsid w:val="00914383"/>
    <w:rsid w:val="00914A70"/>
    <w:rsid w:val="00914C6A"/>
    <w:rsid w:val="00915FA9"/>
    <w:rsid w:val="00916EC9"/>
    <w:rsid w:val="00920008"/>
    <w:rsid w:val="00921913"/>
    <w:rsid w:val="009224E0"/>
    <w:rsid w:val="009228B1"/>
    <w:rsid w:val="00923958"/>
    <w:rsid w:val="00923B32"/>
    <w:rsid w:val="00923CB2"/>
    <w:rsid w:val="009255FD"/>
    <w:rsid w:val="00930F15"/>
    <w:rsid w:val="00931FC3"/>
    <w:rsid w:val="00932B32"/>
    <w:rsid w:val="00932DDB"/>
    <w:rsid w:val="0093600D"/>
    <w:rsid w:val="0093707C"/>
    <w:rsid w:val="00937A66"/>
    <w:rsid w:val="009422DD"/>
    <w:rsid w:val="00942539"/>
    <w:rsid w:val="009441E6"/>
    <w:rsid w:val="00944D05"/>
    <w:rsid w:val="00945EB7"/>
    <w:rsid w:val="009465B2"/>
    <w:rsid w:val="00947F7F"/>
    <w:rsid w:val="00951EE7"/>
    <w:rsid w:val="00952E0A"/>
    <w:rsid w:val="0095391A"/>
    <w:rsid w:val="00954380"/>
    <w:rsid w:val="0095578E"/>
    <w:rsid w:val="00955813"/>
    <w:rsid w:val="009558D1"/>
    <w:rsid w:val="0095653E"/>
    <w:rsid w:val="009569FB"/>
    <w:rsid w:val="00957242"/>
    <w:rsid w:val="0096302B"/>
    <w:rsid w:val="00963137"/>
    <w:rsid w:val="0096367E"/>
    <w:rsid w:val="00963C66"/>
    <w:rsid w:val="0096538E"/>
    <w:rsid w:val="00965606"/>
    <w:rsid w:val="00965899"/>
    <w:rsid w:val="00965F3B"/>
    <w:rsid w:val="00966465"/>
    <w:rsid w:val="009674CD"/>
    <w:rsid w:val="00967903"/>
    <w:rsid w:val="00971C38"/>
    <w:rsid w:val="0097220F"/>
    <w:rsid w:val="00972996"/>
    <w:rsid w:val="00972A3F"/>
    <w:rsid w:val="009731DC"/>
    <w:rsid w:val="00973B1D"/>
    <w:rsid w:val="00973EEA"/>
    <w:rsid w:val="00976405"/>
    <w:rsid w:val="00976607"/>
    <w:rsid w:val="00977860"/>
    <w:rsid w:val="009804CC"/>
    <w:rsid w:val="009812A9"/>
    <w:rsid w:val="00981BAE"/>
    <w:rsid w:val="009847EB"/>
    <w:rsid w:val="0098586C"/>
    <w:rsid w:val="00985A31"/>
    <w:rsid w:val="00985CC8"/>
    <w:rsid w:val="00990616"/>
    <w:rsid w:val="009907CC"/>
    <w:rsid w:val="009908C4"/>
    <w:rsid w:val="0099228F"/>
    <w:rsid w:val="009924E4"/>
    <w:rsid w:val="0099483B"/>
    <w:rsid w:val="00994CD7"/>
    <w:rsid w:val="009956AF"/>
    <w:rsid w:val="009956D6"/>
    <w:rsid w:val="009958B9"/>
    <w:rsid w:val="00996559"/>
    <w:rsid w:val="00996790"/>
    <w:rsid w:val="00997A7C"/>
    <w:rsid w:val="009A0FF1"/>
    <w:rsid w:val="009A5A09"/>
    <w:rsid w:val="009A604F"/>
    <w:rsid w:val="009A6668"/>
    <w:rsid w:val="009A6EF0"/>
    <w:rsid w:val="009A7F09"/>
    <w:rsid w:val="009B3930"/>
    <w:rsid w:val="009B3E80"/>
    <w:rsid w:val="009B5F2F"/>
    <w:rsid w:val="009B62A6"/>
    <w:rsid w:val="009B6718"/>
    <w:rsid w:val="009C0AA7"/>
    <w:rsid w:val="009C2C23"/>
    <w:rsid w:val="009C3A03"/>
    <w:rsid w:val="009C3F42"/>
    <w:rsid w:val="009C3FA8"/>
    <w:rsid w:val="009C40A0"/>
    <w:rsid w:val="009C4D19"/>
    <w:rsid w:val="009C5578"/>
    <w:rsid w:val="009C58FC"/>
    <w:rsid w:val="009C60B1"/>
    <w:rsid w:val="009C72DF"/>
    <w:rsid w:val="009D127B"/>
    <w:rsid w:val="009D14CF"/>
    <w:rsid w:val="009D4DAB"/>
    <w:rsid w:val="009D6543"/>
    <w:rsid w:val="009D77E6"/>
    <w:rsid w:val="009D7F66"/>
    <w:rsid w:val="009E012A"/>
    <w:rsid w:val="009E03B0"/>
    <w:rsid w:val="009E1A61"/>
    <w:rsid w:val="009E25AF"/>
    <w:rsid w:val="009E3BF3"/>
    <w:rsid w:val="009E4D8F"/>
    <w:rsid w:val="009E52D9"/>
    <w:rsid w:val="009F0B12"/>
    <w:rsid w:val="009F0BE5"/>
    <w:rsid w:val="009F0E29"/>
    <w:rsid w:val="009F1201"/>
    <w:rsid w:val="009F20FA"/>
    <w:rsid w:val="009F22AF"/>
    <w:rsid w:val="009F23B5"/>
    <w:rsid w:val="009F32B2"/>
    <w:rsid w:val="009F341B"/>
    <w:rsid w:val="009F6818"/>
    <w:rsid w:val="009F7A83"/>
    <w:rsid w:val="00A01181"/>
    <w:rsid w:val="00A014E9"/>
    <w:rsid w:val="00A01E68"/>
    <w:rsid w:val="00A032DD"/>
    <w:rsid w:val="00A0389F"/>
    <w:rsid w:val="00A03953"/>
    <w:rsid w:val="00A03C76"/>
    <w:rsid w:val="00A04F5F"/>
    <w:rsid w:val="00A05B0E"/>
    <w:rsid w:val="00A06052"/>
    <w:rsid w:val="00A0701F"/>
    <w:rsid w:val="00A074B7"/>
    <w:rsid w:val="00A0764A"/>
    <w:rsid w:val="00A07732"/>
    <w:rsid w:val="00A12B77"/>
    <w:rsid w:val="00A1518B"/>
    <w:rsid w:val="00A153C0"/>
    <w:rsid w:val="00A155C6"/>
    <w:rsid w:val="00A15E66"/>
    <w:rsid w:val="00A213A8"/>
    <w:rsid w:val="00A215BD"/>
    <w:rsid w:val="00A221D1"/>
    <w:rsid w:val="00A26733"/>
    <w:rsid w:val="00A27589"/>
    <w:rsid w:val="00A27B16"/>
    <w:rsid w:val="00A341CF"/>
    <w:rsid w:val="00A345FC"/>
    <w:rsid w:val="00A34A13"/>
    <w:rsid w:val="00A3527E"/>
    <w:rsid w:val="00A3534F"/>
    <w:rsid w:val="00A36039"/>
    <w:rsid w:val="00A3606E"/>
    <w:rsid w:val="00A37A89"/>
    <w:rsid w:val="00A40C91"/>
    <w:rsid w:val="00A412C5"/>
    <w:rsid w:val="00A41948"/>
    <w:rsid w:val="00A4210B"/>
    <w:rsid w:val="00A42911"/>
    <w:rsid w:val="00A42C4C"/>
    <w:rsid w:val="00A4416C"/>
    <w:rsid w:val="00A456DD"/>
    <w:rsid w:val="00A459B5"/>
    <w:rsid w:val="00A46582"/>
    <w:rsid w:val="00A47A30"/>
    <w:rsid w:val="00A47FC3"/>
    <w:rsid w:val="00A52990"/>
    <w:rsid w:val="00A540A8"/>
    <w:rsid w:val="00A55E33"/>
    <w:rsid w:val="00A601CD"/>
    <w:rsid w:val="00A606C5"/>
    <w:rsid w:val="00A61825"/>
    <w:rsid w:val="00A6231D"/>
    <w:rsid w:val="00A643A2"/>
    <w:rsid w:val="00A65353"/>
    <w:rsid w:val="00A7126C"/>
    <w:rsid w:val="00A7189A"/>
    <w:rsid w:val="00A71F8F"/>
    <w:rsid w:val="00A729FA"/>
    <w:rsid w:val="00A75C1A"/>
    <w:rsid w:val="00A767A0"/>
    <w:rsid w:val="00A77C1E"/>
    <w:rsid w:val="00A81B8D"/>
    <w:rsid w:val="00A81E05"/>
    <w:rsid w:val="00A8230B"/>
    <w:rsid w:val="00A84A8A"/>
    <w:rsid w:val="00A84E28"/>
    <w:rsid w:val="00A86F13"/>
    <w:rsid w:val="00A879B4"/>
    <w:rsid w:val="00A92531"/>
    <w:rsid w:val="00A92E45"/>
    <w:rsid w:val="00A9312D"/>
    <w:rsid w:val="00A95A00"/>
    <w:rsid w:val="00A9728B"/>
    <w:rsid w:val="00AA14EF"/>
    <w:rsid w:val="00AA1925"/>
    <w:rsid w:val="00AA3044"/>
    <w:rsid w:val="00AA58E7"/>
    <w:rsid w:val="00AA6080"/>
    <w:rsid w:val="00AB0F6C"/>
    <w:rsid w:val="00AB131C"/>
    <w:rsid w:val="00AB1AAA"/>
    <w:rsid w:val="00AB1B3C"/>
    <w:rsid w:val="00AB36C5"/>
    <w:rsid w:val="00AB4894"/>
    <w:rsid w:val="00AB4DAB"/>
    <w:rsid w:val="00AB4F65"/>
    <w:rsid w:val="00AB5C02"/>
    <w:rsid w:val="00AC1970"/>
    <w:rsid w:val="00AC68FD"/>
    <w:rsid w:val="00AC7370"/>
    <w:rsid w:val="00AD0757"/>
    <w:rsid w:val="00AD0CFB"/>
    <w:rsid w:val="00AD1F48"/>
    <w:rsid w:val="00AD2B3A"/>
    <w:rsid w:val="00AD3A9D"/>
    <w:rsid w:val="00AD3E85"/>
    <w:rsid w:val="00AD46FC"/>
    <w:rsid w:val="00AD57CF"/>
    <w:rsid w:val="00AD5EC7"/>
    <w:rsid w:val="00AE0591"/>
    <w:rsid w:val="00AE05AE"/>
    <w:rsid w:val="00AE0B59"/>
    <w:rsid w:val="00AE1667"/>
    <w:rsid w:val="00AE2560"/>
    <w:rsid w:val="00AE2674"/>
    <w:rsid w:val="00AE2D6F"/>
    <w:rsid w:val="00AE35EF"/>
    <w:rsid w:val="00AE46E5"/>
    <w:rsid w:val="00AE4879"/>
    <w:rsid w:val="00AE52AE"/>
    <w:rsid w:val="00AE56E2"/>
    <w:rsid w:val="00AE7F2E"/>
    <w:rsid w:val="00AF0306"/>
    <w:rsid w:val="00AF102D"/>
    <w:rsid w:val="00AF1215"/>
    <w:rsid w:val="00AF1E3E"/>
    <w:rsid w:val="00AF532C"/>
    <w:rsid w:val="00AF5BD3"/>
    <w:rsid w:val="00AF78AD"/>
    <w:rsid w:val="00AF78FD"/>
    <w:rsid w:val="00AF7EBD"/>
    <w:rsid w:val="00AF7EE3"/>
    <w:rsid w:val="00B00B68"/>
    <w:rsid w:val="00B01236"/>
    <w:rsid w:val="00B01F18"/>
    <w:rsid w:val="00B0233E"/>
    <w:rsid w:val="00B032C0"/>
    <w:rsid w:val="00B03367"/>
    <w:rsid w:val="00B03B10"/>
    <w:rsid w:val="00B056FC"/>
    <w:rsid w:val="00B07BCD"/>
    <w:rsid w:val="00B102D3"/>
    <w:rsid w:val="00B115F1"/>
    <w:rsid w:val="00B11C30"/>
    <w:rsid w:val="00B12C04"/>
    <w:rsid w:val="00B12F30"/>
    <w:rsid w:val="00B13B85"/>
    <w:rsid w:val="00B14079"/>
    <w:rsid w:val="00B14275"/>
    <w:rsid w:val="00B16162"/>
    <w:rsid w:val="00B209A5"/>
    <w:rsid w:val="00B2111E"/>
    <w:rsid w:val="00B21C58"/>
    <w:rsid w:val="00B22705"/>
    <w:rsid w:val="00B228AA"/>
    <w:rsid w:val="00B24EB9"/>
    <w:rsid w:val="00B25190"/>
    <w:rsid w:val="00B3083E"/>
    <w:rsid w:val="00B30968"/>
    <w:rsid w:val="00B31C6E"/>
    <w:rsid w:val="00B3269D"/>
    <w:rsid w:val="00B338C7"/>
    <w:rsid w:val="00B33CA8"/>
    <w:rsid w:val="00B3529E"/>
    <w:rsid w:val="00B352E1"/>
    <w:rsid w:val="00B35753"/>
    <w:rsid w:val="00B358DD"/>
    <w:rsid w:val="00B36370"/>
    <w:rsid w:val="00B37BB9"/>
    <w:rsid w:val="00B4284B"/>
    <w:rsid w:val="00B42FC2"/>
    <w:rsid w:val="00B43A0B"/>
    <w:rsid w:val="00B44B3E"/>
    <w:rsid w:val="00B4744E"/>
    <w:rsid w:val="00B474AA"/>
    <w:rsid w:val="00B47CEC"/>
    <w:rsid w:val="00B50865"/>
    <w:rsid w:val="00B52BE8"/>
    <w:rsid w:val="00B53D98"/>
    <w:rsid w:val="00B53EBB"/>
    <w:rsid w:val="00B54D3A"/>
    <w:rsid w:val="00B55FFB"/>
    <w:rsid w:val="00B57432"/>
    <w:rsid w:val="00B57911"/>
    <w:rsid w:val="00B579A4"/>
    <w:rsid w:val="00B611A1"/>
    <w:rsid w:val="00B61B66"/>
    <w:rsid w:val="00B61C15"/>
    <w:rsid w:val="00B63546"/>
    <w:rsid w:val="00B6600A"/>
    <w:rsid w:val="00B66CAB"/>
    <w:rsid w:val="00B6716E"/>
    <w:rsid w:val="00B7034B"/>
    <w:rsid w:val="00B70ACB"/>
    <w:rsid w:val="00B71B5B"/>
    <w:rsid w:val="00B74AB5"/>
    <w:rsid w:val="00B755F4"/>
    <w:rsid w:val="00B75F0F"/>
    <w:rsid w:val="00B764E7"/>
    <w:rsid w:val="00B77764"/>
    <w:rsid w:val="00B779DB"/>
    <w:rsid w:val="00B802C4"/>
    <w:rsid w:val="00B81D00"/>
    <w:rsid w:val="00B822A1"/>
    <w:rsid w:val="00B918DD"/>
    <w:rsid w:val="00B92065"/>
    <w:rsid w:val="00B92C16"/>
    <w:rsid w:val="00B93E00"/>
    <w:rsid w:val="00B9579B"/>
    <w:rsid w:val="00B96D35"/>
    <w:rsid w:val="00B97042"/>
    <w:rsid w:val="00B97D73"/>
    <w:rsid w:val="00BA0F91"/>
    <w:rsid w:val="00BA1DA8"/>
    <w:rsid w:val="00BA2C2E"/>
    <w:rsid w:val="00BA2FA0"/>
    <w:rsid w:val="00BA30FD"/>
    <w:rsid w:val="00BA58A4"/>
    <w:rsid w:val="00BB30DF"/>
    <w:rsid w:val="00BB3F22"/>
    <w:rsid w:val="00BB6028"/>
    <w:rsid w:val="00BB76FF"/>
    <w:rsid w:val="00BB791F"/>
    <w:rsid w:val="00BC0268"/>
    <w:rsid w:val="00BC140E"/>
    <w:rsid w:val="00BC636A"/>
    <w:rsid w:val="00BC6911"/>
    <w:rsid w:val="00BD0AD8"/>
    <w:rsid w:val="00BD12BC"/>
    <w:rsid w:val="00BD30F2"/>
    <w:rsid w:val="00BD3BAD"/>
    <w:rsid w:val="00BD6AE2"/>
    <w:rsid w:val="00BD6BAE"/>
    <w:rsid w:val="00BE0F0F"/>
    <w:rsid w:val="00BE186D"/>
    <w:rsid w:val="00BE5DED"/>
    <w:rsid w:val="00BE60C1"/>
    <w:rsid w:val="00BE619B"/>
    <w:rsid w:val="00BE6802"/>
    <w:rsid w:val="00BE6BAD"/>
    <w:rsid w:val="00BE74FB"/>
    <w:rsid w:val="00BE76B5"/>
    <w:rsid w:val="00BF0429"/>
    <w:rsid w:val="00BF16C4"/>
    <w:rsid w:val="00BF19D8"/>
    <w:rsid w:val="00C0220F"/>
    <w:rsid w:val="00C0338B"/>
    <w:rsid w:val="00C04B83"/>
    <w:rsid w:val="00C04C75"/>
    <w:rsid w:val="00C06A52"/>
    <w:rsid w:val="00C07640"/>
    <w:rsid w:val="00C07AC3"/>
    <w:rsid w:val="00C10638"/>
    <w:rsid w:val="00C10E6E"/>
    <w:rsid w:val="00C11F63"/>
    <w:rsid w:val="00C13D6B"/>
    <w:rsid w:val="00C144D3"/>
    <w:rsid w:val="00C1597E"/>
    <w:rsid w:val="00C16BE1"/>
    <w:rsid w:val="00C173B9"/>
    <w:rsid w:val="00C17CAE"/>
    <w:rsid w:val="00C27689"/>
    <w:rsid w:val="00C31633"/>
    <w:rsid w:val="00C316CD"/>
    <w:rsid w:val="00C326BA"/>
    <w:rsid w:val="00C33D82"/>
    <w:rsid w:val="00C35F5C"/>
    <w:rsid w:val="00C37AA0"/>
    <w:rsid w:val="00C401E5"/>
    <w:rsid w:val="00C40700"/>
    <w:rsid w:val="00C407F0"/>
    <w:rsid w:val="00C4122D"/>
    <w:rsid w:val="00C43A1C"/>
    <w:rsid w:val="00C43C78"/>
    <w:rsid w:val="00C45461"/>
    <w:rsid w:val="00C454D8"/>
    <w:rsid w:val="00C505A2"/>
    <w:rsid w:val="00C5077F"/>
    <w:rsid w:val="00C50E68"/>
    <w:rsid w:val="00C51AB6"/>
    <w:rsid w:val="00C526C6"/>
    <w:rsid w:val="00C52797"/>
    <w:rsid w:val="00C5427F"/>
    <w:rsid w:val="00C55AFF"/>
    <w:rsid w:val="00C5680E"/>
    <w:rsid w:val="00C57546"/>
    <w:rsid w:val="00C57B4C"/>
    <w:rsid w:val="00C61532"/>
    <w:rsid w:val="00C6253D"/>
    <w:rsid w:val="00C63AB8"/>
    <w:rsid w:val="00C63E14"/>
    <w:rsid w:val="00C67969"/>
    <w:rsid w:val="00C704FF"/>
    <w:rsid w:val="00C7069E"/>
    <w:rsid w:val="00C70A3A"/>
    <w:rsid w:val="00C70F59"/>
    <w:rsid w:val="00C75629"/>
    <w:rsid w:val="00C75C25"/>
    <w:rsid w:val="00C7744D"/>
    <w:rsid w:val="00C80916"/>
    <w:rsid w:val="00C81682"/>
    <w:rsid w:val="00C81EDF"/>
    <w:rsid w:val="00C83480"/>
    <w:rsid w:val="00C835E3"/>
    <w:rsid w:val="00C8576B"/>
    <w:rsid w:val="00C85BAD"/>
    <w:rsid w:val="00C86A17"/>
    <w:rsid w:val="00C87D41"/>
    <w:rsid w:val="00C912AB"/>
    <w:rsid w:val="00C91C64"/>
    <w:rsid w:val="00C933CC"/>
    <w:rsid w:val="00C9373C"/>
    <w:rsid w:val="00C969BE"/>
    <w:rsid w:val="00C96C00"/>
    <w:rsid w:val="00C971B6"/>
    <w:rsid w:val="00C97C7C"/>
    <w:rsid w:val="00CA173C"/>
    <w:rsid w:val="00CA18D8"/>
    <w:rsid w:val="00CA4444"/>
    <w:rsid w:val="00CA567C"/>
    <w:rsid w:val="00CA5BC8"/>
    <w:rsid w:val="00CA5E56"/>
    <w:rsid w:val="00CA754B"/>
    <w:rsid w:val="00CB262A"/>
    <w:rsid w:val="00CB5CDE"/>
    <w:rsid w:val="00CB6440"/>
    <w:rsid w:val="00CB6F7B"/>
    <w:rsid w:val="00CC06EB"/>
    <w:rsid w:val="00CC2FEF"/>
    <w:rsid w:val="00CC431B"/>
    <w:rsid w:val="00CC5242"/>
    <w:rsid w:val="00CC608B"/>
    <w:rsid w:val="00CC60F5"/>
    <w:rsid w:val="00CC70C2"/>
    <w:rsid w:val="00CD0015"/>
    <w:rsid w:val="00CD06E1"/>
    <w:rsid w:val="00CD3278"/>
    <w:rsid w:val="00CD382F"/>
    <w:rsid w:val="00CD4769"/>
    <w:rsid w:val="00CD4924"/>
    <w:rsid w:val="00CD506D"/>
    <w:rsid w:val="00CE0AA4"/>
    <w:rsid w:val="00CE25DC"/>
    <w:rsid w:val="00CE3447"/>
    <w:rsid w:val="00CE4F50"/>
    <w:rsid w:val="00CE55B4"/>
    <w:rsid w:val="00CE7474"/>
    <w:rsid w:val="00CF0CE8"/>
    <w:rsid w:val="00CF2970"/>
    <w:rsid w:val="00CF2F6B"/>
    <w:rsid w:val="00CF2FA2"/>
    <w:rsid w:val="00CF464B"/>
    <w:rsid w:val="00CF4ACA"/>
    <w:rsid w:val="00CF4B4B"/>
    <w:rsid w:val="00D001C6"/>
    <w:rsid w:val="00D01B9A"/>
    <w:rsid w:val="00D0280F"/>
    <w:rsid w:val="00D0500C"/>
    <w:rsid w:val="00D05EB0"/>
    <w:rsid w:val="00D06248"/>
    <w:rsid w:val="00D06545"/>
    <w:rsid w:val="00D06BA7"/>
    <w:rsid w:val="00D07890"/>
    <w:rsid w:val="00D07AFF"/>
    <w:rsid w:val="00D10E0F"/>
    <w:rsid w:val="00D12994"/>
    <w:rsid w:val="00D13316"/>
    <w:rsid w:val="00D13A26"/>
    <w:rsid w:val="00D14282"/>
    <w:rsid w:val="00D16116"/>
    <w:rsid w:val="00D23484"/>
    <w:rsid w:val="00D23B2B"/>
    <w:rsid w:val="00D24A10"/>
    <w:rsid w:val="00D2533F"/>
    <w:rsid w:val="00D26D48"/>
    <w:rsid w:val="00D27CCF"/>
    <w:rsid w:val="00D31105"/>
    <w:rsid w:val="00D31EED"/>
    <w:rsid w:val="00D33666"/>
    <w:rsid w:val="00D33A20"/>
    <w:rsid w:val="00D37512"/>
    <w:rsid w:val="00D37809"/>
    <w:rsid w:val="00D403FD"/>
    <w:rsid w:val="00D42B3C"/>
    <w:rsid w:val="00D45796"/>
    <w:rsid w:val="00D50E7A"/>
    <w:rsid w:val="00D55BD6"/>
    <w:rsid w:val="00D5688A"/>
    <w:rsid w:val="00D56B48"/>
    <w:rsid w:val="00D57364"/>
    <w:rsid w:val="00D6154B"/>
    <w:rsid w:val="00D62D0B"/>
    <w:rsid w:val="00D636C6"/>
    <w:rsid w:val="00D63E95"/>
    <w:rsid w:val="00D645B3"/>
    <w:rsid w:val="00D64A36"/>
    <w:rsid w:val="00D64A42"/>
    <w:rsid w:val="00D67AFB"/>
    <w:rsid w:val="00D67BFF"/>
    <w:rsid w:val="00D67FCC"/>
    <w:rsid w:val="00D7065C"/>
    <w:rsid w:val="00D70717"/>
    <w:rsid w:val="00D72282"/>
    <w:rsid w:val="00D728EC"/>
    <w:rsid w:val="00D73400"/>
    <w:rsid w:val="00D73604"/>
    <w:rsid w:val="00D74D80"/>
    <w:rsid w:val="00D75703"/>
    <w:rsid w:val="00D7608B"/>
    <w:rsid w:val="00D76443"/>
    <w:rsid w:val="00D768FB"/>
    <w:rsid w:val="00D806CB"/>
    <w:rsid w:val="00D81035"/>
    <w:rsid w:val="00D81E1C"/>
    <w:rsid w:val="00D82DE3"/>
    <w:rsid w:val="00D832C2"/>
    <w:rsid w:val="00D854FE"/>
    <w:rsid w:val="00D86BE0"/>
    <w:rsid w:val="00D90EA1"/>
    <w:rsid w:val="00D9246C"/>
    <w:rsid w:val="00D92AAE"/>
    <w:rsid w:val="00D92EF0"/>
    <w:rsid w:val="00D950DD"/>
    <w:rsid w:val="00D9532C"/>
    <w:rsid w:val="00D95680"/>
    <w:rsid w:val="00DA32DE"/>
    <w:rsid w:val="00DA5B18"/>
    <w:rsid w:val="00DA6A75"/>
    <w:rsid w:val="00DB09A6"/>
    <w:rsid w:val="00DB1CFC"/>
    <w:rsid w:val="00DB2011"/>
    <w:rsid w:val="00DB2221"/>
    <w:rsid w:val="00DB3B67"/>
    <w:rsid w:val="00DB442B"/>
    <w:rsid w:val="00DB4A4F"/>
    <w:rsid w:val="00DB4D3C"/>
    <w:rsid w:val="00DB4F1E"/>
    <w:rsid w:val="00DB525E"/>
    <w:rsid w:val="00DB5A74"/>
    <w:rsid w:val="00DB6A67"/>
    <w:rsid w:val="00DB6D55"/>
    <w:rsid w:val="00DC2733"/>
    <w:rsid w:val="00DC5FD2"/>
    <w:rsid w:val="00DC67C1"/>
    <w:rsid w:val="00DC67F4"/>
    <w:rsid w:val="00DC68AA"/>
    <w:rsid w:val="00DD0E37"/>
    <w:rsid w:val="00DD16D3"/>
    <w:rsid w:val="00DD2276"/>
    <w:rsid w:val="00DD4293"/>
    <w:rsid w:val="00DD5BF9"/>
    <w:rsid w:val="00DD6544"/>
    <w:rsid w:val="00DD7D17"/>
    <w:rsid w:val="00DE00B6"/>
    <w:rsid w:val="00DE0DFF"/>
    <w:rsid w:val="00DE534C"/>
    <w:rsid w:val="00DE5B45"/>
    <w:rsid w:val="00DE7B48"/>
    <w:rsid w:val="00DF0344"/>
    <w:rsid w:val="00DF0977"/>
    <w:rsid w:val="00DF0C4C"/>
    <w:rsid w:val="00DF3E16"/>
    <w:rsid w:val="00DF452B"/>
    <w:rsid w:val="00DF6A5F"/>
    <w:rsid w:val="00DF6DF1"/>
    <w:rsid w:val="00DF7FE7"/>
    <w:rsid w:val="00E024A3"/>
    <w:rsid w:val="00E03F5C"/>
    <w:rsid w:val="00E05829"/>
    <w:rsid w:val="00E06F1C"/>
    <w:rsid w:val="00E06F39"/>
    <w:rsid w:val="00E07611"/>
    <w:rsid w:val="00E108F2"/>
    <w:rsid w:val="00E10AE6"/>
    <w:rsid w:val="00E12A80"/>
    <w:rsid w:val="00E12EBE"/>
    <w:rsid w:val="00E1720D"/>
    <w:rsid w:val="00E21566"/>
    <w:rsid w:val="00E23978"/>
    <w:rsid w:val="00E23D49"/>
    <w:rsid w:val="00E24678"/>
    <w:rsid w:val="00E24FA0"/>
    <w:rsid w:val="00E30043"/>
    <w:rsid w:val="00E35500"/>
    <w:rsid w:val="00E35D7D"/>
    <w:rsid w:val="00E3647A"/>
    <w:rsid w:val="00E36E2D"/>
    <w:rsid w:val="00E4530D"/>
    <w:rsid w:val="00E45C59"/>
    <w:rsid w:val="00E46062"/>
    <w:rsid w:val="00E4651A"/>
    <w:rsid w:val="00E512ED"/>
    <w:rsid w:val="00E52969"/>
    <w:rsid w:val="00E52B69"/>
    <w:rsid w:val="00E52BA1"/>
    <w:rsid w:val="00E535AB"/>
    <w:rsid w:val="00E53CA0"/>
    <w:rsid w:val="00E541B7"/>
    <w:rsid w:val="00E542B4"/>
    <w:rsid w:val="00E55554"/>
    <w:rsid w:val="00E6079D"/>
    <w:rsid w:val="00E60984"/>
    <w:rsid w:val="00E60A41"/>
    <w:rsid w:val="00E60CB3"/>
    <w:rsid w:val="00E626DF"/>
    <w:rsid w:val="00E62F85"/>
    <w:rsid w:val="00E649FA"/>
    <w:rsid w:val="00E64B40"/>
    <w:rsid w:val="00E6538E"/>
    <w:rsid w:val="00E65DA3"/>
    <w:rsid w:val="00E66FA6"/>
    <w:rsid w:val="00E70A17"/>
    <w:rsid w:val="00E70AEF"/>
    <w:rsid w:val="00E71BAB"/>
    <w:rsid w:val="00E7240F"/>
    <w:rsid w:val="00E74605"/>
    <w:rsid w:val="00E762E0"/>
    <w:rsid w:val="00E76A55"/>
    <w:rsid w:val="00E77303"/>
    <w:rsid w:val="00E77861"/>
    <w:rsid w:val="00E77867"/>
    <w:rsid w:val="00E77B24"/>
    <w:rsid w:val="00E80865"/>
    <w:rsid w:val="00E85728"/>
    <w:rsid w:val="00E869AD"/>
    <w:rsid w:val="00E90430"/>
    <w:rsid w:val="00E9099D"/>
    <w:rsid w:val="00E90D02"/>
    <w:rsid w:val="00E90D18"/>
    <w:rsid w:val="00E920A3"/>
    <w:rsid w:val="00E92486"/>
    <w:rsid w:val="00E926D1"/>
    <w:rsid w:val="00E92DC9"/>
    <w:rsid w:val="00E92E35"/>
    <w:rsid w:val="00E93001"/>
    <w:rsid w:val="00E93AB6"/>
    <w:rsid w:val="00EA05C8"/>
    <w:rsid w:val="00EA312F"/>
    <w:rsid w:val="00EA394A"/>
    <w:rsid w:val="00EA4932"/>
    <w:rsid w:val="00EA60AE"/>
    <w:rsid w:val="00EA66D0"/>
    <w:rsid w:val="00EA66D3"/>
    <w:rsid w:val="00EB1B7A"/>
    <w:rsid w:val="00EB231F"/>
    <w:rsid w:val="00EB264A"/>
    <w:rsid w:val="00EB27F0"/>
    <w:rsid w:val="00EB5CE0"/>
    <w:rsid w:val="00EB6156"/>
    <w:rsid w:val="00EB63B4"/>
    <w:rsid w:val="00EB6730"/>
    <w:rsid w:val="00EB6D66"/>
    <w:rsid w:val="00EC057F"/>
    <w:rsid w:val="00EC1109"/>
    <w:rsid w:val="00EC1457"/>
    <w:rsid w:val="00EC2AC6"/>
    <w:rsid w:val="00EC2E23"/>
    <w:rsid w:val="00EC313D"/>
    <w:rsid w:val="00EC47F3"/>
    <w:rsid w:val="00EC4B0E"/>
    <w:rsid w:val="00EC53C0"/>
    <w:rsid w:val="00EC5619"/>
    <w:rsid w:val="00EC6B5C"/>
    <w:rsid w:val="00EC70D2"/>
    <w:rsid w:val="00EC76F1"/>
    <w:rsid w:val="00ED015F"/>
    <w:rsid w:val="00ED3EDF"/>
    <w:rsid w:val="00ED4194"/>
    <w:rsid w:val="00ED47F3"/>
    <w:rsid w:val="00ED4B45"/>
    <w:rsid w:val="00ED5B86"/>
    <w:rsid w:val="00ED5BF1"/>
    <w:rsid w:val="00ED65B6"/>
    <w:rsid w:val="00ED68E4"/>
    <w:rsid w:val="00ED72B5"/>
    <w:rsid w:val="00EE053A"/>
    <w:rsid w:val="00EE09BC"/>
    <w:rsid w:val="00EE0FBA"/>
    <w:rsid w:val="00EE0FE2"/>
    <w:rsid w:val="00EE12FD"/>
    <w:rsid w:val="00EE2587"/>
    <w:rsid w:val="00EE26FE"/>
    <w:rsid w:val="00EE2FAC"/>
    <w:rsid w:val="00EE3212"/>
    <w:rsid w:val="00EE3A07"/>
    <w:rsid w:val="00EE4B04"/>
    <w:rsid w:val="00EE4E26"/>
    <w:rsid w:val="00EE5580"/>
    <w:rsid w:val="00EE6B8E"/>
    <w:rsid w:val="00EE77E2"/>
    <w:rsid w:val="00EE7AFB"/>
    <w:rsid w:val="00EF14F4"/>
    <w:rsid w:val="00EF15A0"/>
    <w:rsid w:val="00EF1C31"/>
    <w:rsid w:val="00EF282D"/>
    <w:rsid w:val="00EF43B2"/>
    <w:rsid w:val="00EF4469"/>
    <w:rsid w:val="00EF6C5D"/>
    <w:rsid w:val="00F0118C"/>
    <w:rsid w:val="00F06010"/>
    <w:rsid w:val="00F06474"/>
    <w:rsid w:val="00F066B0"/>
    <w:rsid w:val="00F074CF"/>
    <w:rsid w:val="00F11741"/>
    <w:rsid w:val="00F1299D"/>
    <w:rsid w:val="00F12CCF"/>
    <w:rsid w:val="00F12F9A"/>
    <w:rsid w:val="00F13195"/>
    <w:rsid w:val="00F1369B"/>
    <w:rsid w:val="00F13F79"/>
    <w:rsid w:val="00F14A14"/>
    <w:rsid w:val="00F1571E"/>
    <w:rsid w:val="00F16372"/>
    <w:rsid w:val="00F1700D"/>
    <w:rsid w:val="00F17C76"/>
    <w:rsid w:val="00F21DBD"/>
    <w:rsid w:val="00F22016"/>
    <w:rsid w:val="00F2281B"/>
    <w:rsid w:val="00F23A78"/>
    <w:rsid w:val="00F240BB"/>
    <w:rsid w:val="00F25440"/>
    <w:rsid w:val="00F25AE0"/>
    <w:rsid w:val="00F25CF9"/>
    <w:rsid w:val="00F314E9"/>
    <w:rsid w:val="00F31E00"/>
    <w:rsid w:val="00F3274E"/>
    <w:rsid w:val="00F34727"/>
    <w:rsid w:val="00F37D6C"/>
    <w:rsid w:val="00F414F6"/>
    <w:rsid w:val="00F42D1D"/>
    <w:rsid w:val="00F455E2"/>
    <w:rsid w:val="00F45A1B"/>
    <w:rsid w:val="00F47233"/>
    <w:rsid w:val="00F50FBE"/>
    <w:rsid w:val="00F51DC7"/>
    <w:rsid w:val="00F53B6A"/>
    <w:rsid w:val="00F54F5A"/>
    <w:rsid w:val="00F55930"/>
    <w:rsid w:val="00F55992"/>
    <w:rsid w:val="00F57C7A"/>
    <w:rsid w:val="00F60032"/>
    <w:rsid w:val="00F61AE0"/>
    <w:rsid w:val="00F642C3"/>
    <w:rsid w:val="00F6532D"/>
    <w:rsid w:val="00F65ACB"/>
    <w:rsid w:val="00F65EF4"/>
    <w:rsid w:val="00F67229"/>
    <w:rsid w:val="00F72090"/>
    <w:rsid w:val="00F731F9"/>
    <w:rsid w:val="00F734C4"/>
    <w:rsid w:val="00F738B6"/>
    <w:rsid w:val="00F77315"/>
    <w:rsid w:val="00F812E7"/>
    <w:rsid w:val="00F817CA"/>
    <w:rsid w:val="00F8198E"/>
    <w:rsid w:val="00F81B2C"/>
    <w:rsid w:val="00F81B80"/>
    <w:rsid w:val="00F840E6"/>
    <w:rsid w:val="00F84AC8"/>
    <w:rsid w:val="00F86B9C"/>
    <w:rsid w:val="00F87CB7"/>
    <w:rsid w:val="00F91A9A"/>
    <w:rsid w:val="00F926E9"/>
    <w:rsid w:val="00F93359"/>
    <w:rsid w:val="00F94C8A"/>
    <w:rsid w:val="00F95397"/>
    <w:rsid w:val="00F9594E"/>
    <w:rsid w:val="00F95DEC"/>
    <w:rsid w:val="00F9770F"/>
    <w:rsid w:val="00FA067D"/>
    <w:rsid w:val="00FA1F1E"/>
    <w:rsid w:val="00FA3356"/>
    <w:rsid w:val="00FA3C7E"/>
    <w:rsid w:val="00FA4CF9"/>
    <w:rsid w:val="00FA4E31"/>
    <w:rsid w:val="00FA7449"/>
    <w:rsid w:val="00FA7F24"/>
    <w:rsid w:val="00FB065A"/>
    <w:rsid w:val="00FB0933"/>
    <w:rsid w:val="00FB16AF"/>
    <w:rsid w:val="00FB1E0D"/>
    <w:rsid w:val="00FB31CF"/>
    <w:rsid w:val="00FB4346"/>
    <w:rsid w:val="00FB4D5E"/>
    <w:rsid w:val="00FB5706"/>
    <w:rsid w:val="00FC1150"/>
    <w:rsid w:val="00FC185D"/>
    <w:rsid w:val="00FC1D5F"/>
    <w:rsid w:val="00FC27A4"/>
    <w:rsid w:val="00FC2963"/>
    <w:rsid w:val="00FC328B"/>
    <w:rsid w:val="00FC38AC"/>
    <w:rsid w:val="00FC38B2"/>
    <w:rsid w:val="00FC48D5"/>
    <w:rsid w:val="00FC7B2E"/>
    <w:rsid w:val="00FD391E"/>
    <w:rsid w:val="00FE0984"/>
    <w:rsid w:val="00FE2196"/>
    <w:rsid w:val="00FE2D64"/>
    <w:rsid w:val="00FE3502"/>
    <w:rsid w:val="00FE3EC0"/>
    <w:rsid w:val="00FE4283"/>
    <w:rsid w:val="00FE530A"/>
    <w:rsid w:val="00FE617B"/>
    <w:rsid w:val="00FE62D3"/>
    <w:rsid w:val="00FE7E6D"/>
    <w:rsid w:val="00FE7EBD"/>
    <w:rsid w:val="00FF0225"/>
    <w:rsid w:val="00FF04EB"/>
    <w:rsid w:val="00FF0C32"/>
    <w:rsid w:val="00FF1032"/>
    <w:rsid w:val="00FF1546"/>
    <w:rsid w:val="00FF2FB4"/>
    <w:rsid w:val="00FF5D3A"/>
    <w:rsid w:val="00FF6C97"/>
    <w:rsid w:val="00FF7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48792E"/>
  <w15:docId w15:val="{859D6703-5DA0-4278-8784-DCA5552C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D5"/>
    <w:pPr>
      <w:spacing w:after="240" w:line="312" w:lineRule="auto"/>
    </w:pPr>
    <w:rPr>
      <w:rFonts w:ascii="Arial" w:hAnsi="Arial"/>
      <w:sz w:val="22"/>
      <w:szCs w:val="24"/>
      <w:lang w:eastAsia="en-US"/>
    </w:rPr>
  </w:style>
  <w:style w:type="paragraph" w:styleId="Heading1">
    <w:name w:val="heading 1"/>
    <w:basedOn w:val="Normal"/>
    <w:next w:val="Normal"/>
    <w:link w:val="Heading1Char"/>
    <w:qFormat/>
    <w:rsid w:val="00677E53"/>
    <w:pPr>
      <w:keepNext/>
      <w:keepLines/>
      <w:numPr>
        <w:numId w:val="4"/>
      </w:numPr>
      <w:spacing w:before="240"/>
      <w:ind w:left="360"/>
      <w:outlineLvl w:val="0"/>
    </w:pPr>
    <w:rPr>
      <w:rFonts w:eastAsia="Times New Roman"/>
      <w:b/>
      <w:bCs/>
      <w:color w:val="17365D"/>
      <w:sz w:val="32"/>
      <w:szCs w:val="32"/>
      <w:lang w:val="x-none"/>
    </w:rPr>
  </w:style>
  <w:style w:type="paragraph" w:styleId="Heading2">
    <w:name w:val="heading 2"/>
    <w:basedOn w:val="Normal"/>
    <w:next w:val="Normal"/>
    <w:link w:val="Heading2Char"/>
    <w:autoRedefine/>
    <w:qFormat/>
    <w:rsid w:val="00B11C30"/>
    <w:pPr>
      <w:keepNext/>
      <w:keepLines/>
      <w:spacing w:after="120" w:line="360" w:lineRule="auto"/>
      <w:jc w:val="both"/>
      <w:outlineLvl w:val="1"/>
    </w:pPr>
    <w:rPr>
      <w:rFonts w:eastAsiaTheme="minorEastAsia"/>
      <w:b/>
      <w:bCs/>
      <w:color w:val="548DD4"/>
      <w:sz w:val="28"/>
      <w:szCs w:val="26"/>
      <w:lang w:val="en-US" w:eastAsia="en-NZ"/>
    </w:rPr>
  </w:style>
  <w:style w:type="paragraph" w:styleId="Heading3">
    <w:name w:val="heading 3"/>
    <w:basedOn w:val="Normal"/>
    <w:next w:val="Normal"/>
    <w:link w:val="Heading3Char"/>
    <w:qFormat/>
    <w:rsid w:val="006E17AD"/>
    <w:pPr>
      <w:keepNext/>
      <w:spacing w:before="240"/>
      <w:outlineLvl w:val="2"/>
    </w:pPr>
    <w:rPr>
      <w:rFonts w:eastAsia="Times New Roman"/>
      <w:b/>
      <w:bCs/>
      <w:color w:val="404040"/>
      <w:sz w:val="24"/>
      <w:szCs w:val="26"/>
      <w:lang w:val="x-none"/>
    </w:rPr>
  </w:style>
  <w:style w:type="paragraph" w:styleId="Heading4">
    <w:name w:val="heading 4"/>
    <w:basedOn w:val="Normal"/>
    <w:next w:val="Normal"/>
    <w:link w:val="Heading4Char"/>
    <w:qFormat/>
    <w:rsid w:val="00DE0837"/>
    <w:pPr>
      <w:keepNext/>
      <w:spacing w:before="240"/>
      <w:outlineLvl w:val="3"/>
    </w:pPr>
    <w:rPr>
      <w:rFonts w:eastAsia="Times New Roman"/>
      <w:b/>
      <w:bCs/>
      <w:color w:val="7F7F7F"/>
      <w:sz w:val="28"/>
      <w:szCs w:val="28"/>
      <w:lang w:val="x-none"/>
    </w:rPr>
  </w:style>
  <w:style w:type="paragraph" w:styleId="Heading5">
    <w:name w:val="heading 5"/>
    <w:basedOn w:val="Normal"/>
    <w:next w:val="Normal"/>
    <w:link w:val="Heading5Char"/>
    <w:qFormat/>
    <w:rsid w:val="004F241B"/>
    <w:pPr>
      <w:keepNext/>
      <w:keepLines/>
      <w:spacing w:before="200" w:after="0" w:line="240" w:lineRule="auto"/>
      <w:outlineLvl w:val="4"/>
    </w:pPr>
    <w:rPr>
      <w:rFonts w:ascii="Cambria" w:eastAsia="Times New Roman" w:hAnsi="Cambria"/>
      <w:color w:val="243F60"/>
      <w:lang w:val="x-none" w:eastAsia="x-none"/>
    </w:rPr>
  </w:style>
  <w:style w:type="paragraph" w:styleId="Heading6">
    <w:name w:val="heading 6"/>
    <w:basedOn w:val="Normal1"/>
    <w:next w:val="Normal1"/>
    <w:link w:val="Heading6Char"/>
    <w:qFormat/>
    <w:rsid w:val="00126DD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150"/>
    <w:rPr>
      <w:color w:val="0000FF"/>
      <w:u w:val="single"/>
    </w:rPr>
  </w:style>
  <w:style w:type="character" w:customStyle="1" w:styleId="Heading1Char">
    <w:name w:val="Heading 1 Char"/>
    <w:link w:val="Heading1"/>
    <w:rsid w:val="00677E53"/>
    <w:rPr>
      <w:rFonts w:ascii="Arial" w:eastAsia="Times New Roman" w:hAnsi="Arial"/>
      <w:b/>
      <w:bCs/>
      <w:color w:val="17365D"/>
      <w:sz w:val="32"/>
      <w:szCs w:val="32"/>
      <w:lang w:val="x-none" w:eastAsia="en-US"/>
    </w:rPr>
  </w:style>
  <w:style w:type="character" w:customStyle="1" w:styleId="FooterChar">
    <w:name w:val="Footer Char"/>
    <w:link w:val="Footer"/>
    <w:uiPriority w:val="99"/>
    <w:rsid w:val="0008687F"/>
    <w:rPr>
      <w:rFonts w:ascii="Times New Roman" w:hAnsi="Times New Roman"/>
      <w:sz w:val="24"/>
      <w:szCs w:val="24"/>
    </w:rPr>
  </w:style>
  <w:style w:type="paragraph" w:styleId="Footer">
    <w:name w:val="footer"/>
    <w:basedOn w:val="Normal"/>
    <w:link w:val="FooterChar"/>
    <w:uiPriority w:val="99"/>
    <w:unhideWhenUsed/>
    <w:rsid w:val="0008687F"/>
    <w:pPr>
      <w:tabs>
        <w:tab w:val="center" w:pos="4320"/>
        <w:tab w:val="right" w:pos="8640"/>
      </w:tabs>
    </w:pPr>
    <w:rPr>
      <w:rFonts w:ascii="Times New Roman" w:hAnsi="Times New Roman"/>
      <w:lang w:val="x-none" w:eastAsia="x-none"/>
    </w:rPr>
  </w:style>
  <w:style w:type="character" w:customStyle="1" w:styleId="FooterChar1">
    <w:name w:val="Footer Char1"/>
    <w:uiPriority w:val="99"/>
    <w:semiHidden/>
    <w:rsid w:val="003E5BD3"/>
    <w:rPr>
      <w:rFonts w:ascii="Times New Roman" w:hAnsi="Times New Roman"/>
      <w:sz w:val="24"/>
      <w:szCs w:val="24"/>
    </w:rPr>
  </w:style>
  <w:style w:type="character" w:customStyle="1" w:styleId="Heading2Char">
    <w:name w:val="Heading 2 Char"/>
    <w:link w:val="Heading2"/>
    <w:rsid w:val="00EE6B8E"/>
    <w:rPr>
      <w:rFonts w:ascii="Arial" w:eastAsiaTheme="minorEastAsia" w:hAnsi="Arial"/>
      <w:b/>
      <w:bCs/>
      <w:color w:val="548DD4"/>
      <w:sz w:val="28"/>
      <w:szCs w:val="26"/>
      <w:lang w:val="en-US"/>
    </w:rPr>
  </w:style>
  <w:style w:type="character" w:styleId="PageNumber">
    <w:name w:val="page number"/>
    <w:basedOn w:val="DefaultParagraphFont"/>
    <w:uiPriority w:val="99"/>
    <w:unhideWhenUsed/>
    <w:rsid w:val="003E5BD3"/>
  </w:style>
  <w:style w:type="paragraph" w:styleId="Header">
    <w:name w:val="header"/>
    <w:basedOn w:val="Normal"/>
    <w:link w:val="HeaderChar"/>
    <w:uiPriority w:val="99"/>
    <w:unhideWhenUsed/>
    <w:rsid w:val="00880A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880AED"/>
    <w:rPr>
      <w:rFonts w:ascii="Times New Roman" w:hAnsi="Times New Roman"/>
      <w:sz w:val="24"/>
      <w:szCs w:val="24"/>
    </w:rPr>
  </w:style>
  <w:style w:type="character" w:customStyle="1" w:styleId="Heading2Char1">
    <w:name w:val="Heading 2 Char1"/>
    <w:uiPriority w:val="9"/>
    <w:semiHidden/>
    <w:rsid w:val="00CC53F9"/>
    <w:rPr>
      <w:rFonts w:ascii="Calibri" w:eastAsia="Times New Roman" w:hAnsi="Calibri" w:cs="Times New Roman"/>
      <w:b/>
      <w:bCs/>
      <w:i/>
      <w:iCs/>
      <w:sz w:val="28"/>
      <w:szCs w:val="28"/>
    </w:rPr>
  </w:style>
  <w:style w:type="paragraph" w:customStyle="1" w:styleId="PlaceholderText1">
    <w:name w:val="Placeholder Text1"/>
    <w:basedOn w:val="Normal"/>
    <w:uiPriority w:val="99"/>
    <w:unhideWhenUsed/>
    <w:rsid w:val="00CC53F9"/>
    <w:pPr>
      <w:keepNext/>
      <w:numPr>
        <w:numId w:val="1"/>
      </w:numPr>
      <w:contextualSpacing/>
      <w:outlineLvl w:val="0"/>
    </w:pPr>
    <w:rPr>
      <w:rFonts w:ascii="Verdana" w:eastAsia="MS Gothic" w:hAnsi="Verdana"/>
    </w:rPr>
  </w:style>
  <w:style w:type="paragraph" w:customStyle="1" w:styleId="KeyMessages">
    <w:name w:val="Key Messages"/>
    <w:basedOn w:val="ListBullet"/>
    <w:uiPriority w:val="99"/>
    <w:qFormat/>
    <w:rsid w:val="00827871"/>
    <w:pPr>
      <w:keepNext/>
      <w:numPr>
        <w:ilvl w:val="1"/>
        <w:numId w:val="1"/>
      </w:numPr>
      <w:spacing w:before="240"/>
      <w:ind w:left="721" w:hanging="437"/>
      <w:outlineLvl w:val="1"/>
    </w:pPr>
    <w:rPr>
      <w:rFonts w:eastAsia="MS Gothic"/>
      <w:color w:val="17365D"/>
    </w:rPr>
  </w:style>
  <w:style w:type="paragraph" w:customStyle="1" w:styleId="NoteLevel31">
    <w:name w:val="Note Level 31"/>
    <w:basedOn w:val="Normal"/>
    <w:uiPriority w:val="99"/>
    <w:semiHidden/>
    <w:unhideWhenUsed/>
    <w:rsid w:val="00CC53F9"/>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semiHidden/>
    <w:unhideWhenUsed/>
    <w:rsid w:val="00CC53F9"/>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semiHidden/>
    <w:unhideWhenUsed/>
    <w:rsid w:val="00CC53F9"/>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semiHidden/>
    <w:unhideWhenUsed/>
    <w:rsid w:val="00CC53F9"/>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CC53F9"/>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CC53F9"/>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CC53F9"/>
    <w:pPr>
      <w:keepNext/>
      <w:numPr>
        <w:ilvl w:val="8"/>
        <w:numId w:val="1"/>
      </w:numPr>
      <w:contextualSpacing/>
      <w:outlineLvl w:val="8"/>
    </w:pPr>
    <w:rPr>
      <w:rFonts w:ascii="Verdana" w:eastAsia="MS Gothic" w:hAnsi="Verdana"/>
    </w:rPr>
  </w:style>
  <w:style w:type="paragraph" w:styleId="List2">
    <w:name w:val="List 2"/>
    <w:basedOn w:val="Normal"/>
    <w:rsid w:val="00CC53F9"/>
    <w:pPr>
      <w:ind w:left="566" w:hanging="283"/>
    </w:pPr>
    <w:rPr>
      <w:rFonts w:eastAsia="Times New Roman"/>
      <w:lang w:val="en-GB"/>
    </w:rPr>
  </w:style>
  <w:style w:type="paragraph" w:styleId="ListBullet">
    <w:name w:val="List Bullet"/>
    <w:basedOn w:val="Normal"/>
    <w:autoRedefine/>
    <w:rsid w:val="00CC53F9"/>
    <w:pPr>
      <w:numPr>
        <w:numId w:val="2"/>
      </w:numPr>
    </w:pPr>
    <w:rPr>
      <w:rFonts w:eastAsia="Times New Roman"/>
      <w:lang w:val="en-GB"/>
    </w:rPr>
  </w:style>
  <w:style w:type="character" w:styleId="CommentReference">
    <w:name w:val="annotation reference"/>
    <w:uiPriority w:val="99"/>
    <w:semiHidden/>
    <w:unhideWhenUsed/>
    <w:rsid w:val="00625DF7"/>
    <w:rPr>
      <w:sz w:val="16"/>
      <w:szCs w:val="16"/>
    </w:rPr>
  </w:style>
  <w:style w:type="paragraph" w:styleId="CommentText">
    <w:name w:val="annotation text"/>
    <w:basedOn w:val="Normal"/>
    <w:link w:val="CommentTextChar"/>
    <w:uiPriority w:val="99"/>
    <w:unhideWhenUsed/>
    <w:rsid w:val="00625DF7"/>
    <w:rPr>
      <w:rFonts w:ascii="Comic Sans MS" w:hAnsi="Comic Sans MS"/>
      <w:lang w:val="en-US"/>
    </w:rPr>
  </w:style>
  <w:style w:type="character" w:customStyle="1" w:styleId="CommentTextChar">
    <w:name w:val="Comment Text Char"/>
    <w:link w:val="CommentText"/>
    <w:uiPriority w:val="99"/>
    <w:rsid w:val="00625DF7"/>
    <w:rPr>
      <w:rFonts w:ascii="Comic Sans MS" w:hAnsi="Comic Sans MS"/>
      <w:sz w:val="24"/>
      <w:szCs w:val="24"/>
      <w:lang w:val="en-US" w:eastAsia="en-US"/>
    </w:rPr>
  </w:style>
  <w:style w:type="paragraph" w:styleId="CommentSubject">
    <w:name w:val="annotation subject"/>
    <w:basedOn w:val="CommentText"/>
    <w:next w:val="CommentText"/>
    <w:link w:val="CommentSubjectChar"/>
    <w:uiPriority w:val="99"/>
    <w:semiHidden/>
    <w:unhideWhenUsed/>
    <w:rsid w:val="00625DF7"/>
    <w:rPr>
      <w:b/>
      <w:bCs/>
    </w:rPr>
  </w:style>
  <w:style w:type="character" w:customStyle="1" w:styleId="CommentSubjectChar">
    <w:name w:val="Comment Subject Char"/>
    <w:link w:val="CommentSubject"/>
    <w:uiPriority w:val="99"/>
    <w:semiHidden/>
    <w:rsid w:val="00625DF7"/>
    <w:rPr>
      <w:rFonts w:ascii="Comic Sans MS" w:hAnsi="Comic Sans MS"/>
      <w:b/>
      <w:bCs/>
      <w:sz w:val="24"/>
      <w:szCs w:val="24"/>
      <w:lang w:val="en-US" w:eastAsia="en-US"/>
    </w:rPr>
  </w:style>
  <w:style w:type="paragraph" w:styleId="BalloonText">
    <w:name w:val="Balloon Text"/>
    <w:basedOn w:val="Normal"/>
    <w:link w:val="BalloonTextChar"/>
    <w:uiPriority w:val="99"/>
    <w:semiHidden/>
    <w:unhideWhenUsed/>
    <w:rsid w:val="00625DF7"/>
    <w:rPr>
      <w:rFonts w:ascii="Tahoma" w:hAnsi="Tahoma"/>
      <w:sz w:val="16"/>
      <w:szCs w:val="16"/>
      <w:lang w:val="en-US"/>
    </w:rPr>
  </w:style>
  <w:style w:type="character" w:customStyle="1" w:styleId="BalloonTextChar">
    <w:name w:val="Balloon Text Char"/>
    <w:link w:val="BalloonText"/>
    <w:uiPriority w:val="99"/>
    <w:semiHidden/>
    <w:rsid w:val="00625DF7"/>
    <w:rPr>
      <w:rFonts w:ascii="Tahoma" w:hAnsi="Tahoma" w:cs="Tahoma"/>
      <w:sz w:val="16"/>
      <w:szCs w:val="16"/>
      <w:lang w:val="en-US" w:eastAsia="en-US"/>
    </w:rPr>
  </w:style>
  <w:style w:type="character" w:styleId="FollowedHyperlink">
    <w:name w:val="FollowedHyperlink"/>
    <w:uiPriority w:val="99"/>
    <w:semiHidden/>
    <w:unhideWhenUsed/>
    <w:rsid w:val="002B15CF"/>
    <w:rPr>
      <w:color w:val="800080"/>
      <w:u w:val="single"/>
    </w:rPr>
  </w:style>
  <w:style w:type="paragraph" w:styleId="DocumentMap">
    <w:name w:val="Document Map"/>
    <w:basedOn w:val="Normal"/>
    <w:link w:val="DocumentMapChar"/>
    <w:uiPriority w:val="99"/>
    <w:semiHidden/>
    <w:unhideWhenUsed/>
    <w:rsid w:val="00A25459"/>
    <w:rPr>
      <w:rFonts w:ascii="Lucida Grande" w:hAnsi="Lucida Grande"/>
      <w:lang w:val="x-none" w:eastAsia="x-none"/>
    </w:rPr>
  </w:style>
  <w:style w:type="character" w:customStyle="1" w:styleId="DocumentMapChar">
    <w:name w:val="Document Map Char"/>
    <w:link w:val="DocumentMap"/>
    <w:uiPriority w:val="99"/>
    <w:semiHidden/>
    <w:rsid w:val="00A25459"/>
    <w:rPr>
      <w:rFonts w:ascii="Lucida Grande" w:hAnsi="Lucida Grande" w:cs="Lucida Grande"/>
      <w:sz w:val="24"/>
      <w:szCs w:val="24"/>
    </w:rPr>
  </w:style>
  <w:style w:type="paragraph" w:customStyle="1" w:styleId="ColorfulShading-Accent11">
    <w:name w:val="Colorful Shading - Accent 11"/>
    <w:hidden/>
    <w:uiPriority w:val="99"/>
    <w:semiHidden/>
    <w:rsid w:val="003A7BC9"/>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270642"/>
    <w:pPr>
      <w:ind w:left="720"/>
      <w:contextualSpacing/>
    </w:pPr>
    <w:rPr>
      <w:rFonts w:ascii="Cambria" w:eastAsia="MS Mincho" w:hAnsi="Cambria"/>
      <w:lang w:val="en-AU"/>
    </w:rPr>
  </w:style>
  <w:style w:type="table" w:styleId="TableGrid">
    <w:name w:val="Table Grid"/>
    <w:basedOn w:val="TableNormal"/>
    <w:uiPriority w:val="39"/>
    <w:rsid w:val="005A0461"/>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1E63"/>
    <w:rPr>
      <w:sz w:val="20"/>
      <w:szCs w:val="20"/>
      <w:lang w:val="x-none"/>
    </w:rPr>
  </w:style>
  <w:style w:type="character" w:customStyle="1" w:styleId="FootnoteTextChar">
    <w:name w:val="Footnote Text Char"/>
    <w:link w:val="FootnoteText"/>
    <w:uiPriority w:val="99"/>
    <w:rsid w:val="00F91E63"/>
    <w:rPr>
      <w:rFonts w:ascii="Arial" w:hAnsi="Arial"/>
      <w:lang w:eastAsia="en-US"/>
    </w:rPr>
  </w:style>
  <w:style w:type="character" w:styleId="FootnoteReference">
    <w:name w:val="footnote reference"/>
    <w:uiPriority w:val="99"/>
    <w:unhideWhenUsed/>
    <w:rsid w:val="00F91E63"/>
    <w:rPr>
      <w:vertAlign w:val="superscript"/>
    </w:rPr>
  </w:style>
  <w:style w:type="character" w:customStyle="1" w:styleId="Heading3Char">
    <w:name w:val="Heading 3 Char"/>
    <w:link w:val="Heading3"/>
    <w:rsid w:val="006E17AD"/>
    <w:rPr>
      <w:rFonts w:ascii="Arial" w:eastAsia="Times New Roman" w:hAnsi="Arial"/>
      <w:b/>
      <w:bCs/>
      <w:color w:val="404040"/>
      <w:sz w:val="24"/>
      <w:szCs w:val="26"/>
      <w:lang w:val="x-none" w:eastAsia="en-US"/>
    </w:rPr>
  </w:style>
  <w:style w:type="character" w:customStyle="1" w:styleId="Heading4Char">
    <w:name w:val="Heading 4 Char"/>
    <w:link w:val="Heading4"/>
    <w:uiPriority w:val="9"/>
    <w:rsid w:val="00DE0837"/>
    <w:rPr>
      <w:rFonts w:ascii="Arial" w:eastAsia="Times New Roman" w:hAnsi="Arial"/>
      <w:b/>
      <w:bCs/>
      <w:color w:val="7F7F7F"/>
      <w:sz w:val="28"/>
      <w:szCs w:val="28"/>
      <w:lang w:eastAsia="en-US"/>
    </w:rPr>
  </w:style>
  <w:style w:type="paragraph" w:customStyle="1" w:styleId="ColorfulList-Accent12">
    <w:name w:val="Colorful List - Accent 12"/>
    <w:basedOn w:val="Normal"/>
    <w:uiPriority w:val="34"/>
    <w:qFormat/>
    <w:rsid w:val="00E811DB"/>
    <w:pPr>
      <w:ind w:left="720"/>
      <w:contextualSpacing/>
    </w:pPr>
  </w:style>
  <w:style w:type="paragraph" w:styleId="Title">
    <w:name w:val="Title"/>
    <w:basedOn w:val="Normal"/>
    <w:next w:val="Normal"/>
    <w:link w:val="TitleChar"/>
    <w:uiPriority w:val="10"/>
    <w:qFormat/>
    <w:rsid w:val="008222C4"/>
    <w:pPr>
      <w:spacing w:after="300" w:line="240" w:lineRule="auto"/>
      <w:contextualSpacing/>
    </w:pPr>
    <w:rPr>
      <w:rFonts w:eastAsia="Times New Roman"/>
      <w:b/>
      <w:color w:val="17365D"/>
      <w:spacing w:val="5"/>
      <w:kern w:val="28"/>
      <w:sz w:val="40"/>
      <w:szCs w:val="52"/>
      <w:lang w:val="x-none"/>
    </w:rPr>
  </w:style>
  <w:style w:type="character" w:customStyle="1" w:styleId="TitleChar">
    <w:name w:val="Title Char"/>
    <w:link w:val="Title"/>
    <w:uiPriority w:val="10"/>
    <w:rsid w:val="008222C4"/>
    <w:rPr>
      <w:rFonts w:ascii="Arial" w:eastAsia="Times New Roman" w:hAnsi="Arial" w:cs="Times New Roman"/>
      <w:b/>
      <w:color w:val="17365D"/>
      <w:spacing w:val="5"/>
      <w:kern w:val="28"/>
      <w:sz w:val="40"/>
      <w:szCs w:val="52"/>
      <w:lang w:eastAsia="en-US"/>
    </w:rPr>
  </w:style>
  <w:style w:type="paragraph" w:customStyle="1" w:styleId="ColorfulGrid-Accent11">
    <w:name w:val="Colorful Grid - Accent 11"/>
    <w:basedOn w:val="Normal"/>
    <w:next w:val="Normal"/>
    <w:link w:val="ColorfulGrid-Accent1Char"/>
    <w:uiPriority w:val="29"/>
    <w:qFormat/>
    <w:rsid w:val="00A0468E"/>
    <w:pPr>
      <w:pBdr>
        <w:top w:val="single" w:sz="8" w:space="10" w:color="7F7F7F"/>
        <w:bottom w:val="single" w:sz="8" w:space="8" w:color="7F7F7F"/>
      </w:pBdr>
      <w:shd w:val="clear" w:color="auto" w:fill="F3F3F3"/>
      <w:ind w:left="720" w:right="284"/>
    </w:pPr>
    <w:rPr>
      <w:i/>
      <w:iCs/>
      <w:color w:val="7F7F7F"/>
      <w:lang w:val="x-none"/>
    </w:rPr>
  </w:style>
  <w:style w:type="paragraph" w:customStyle="1" w:styleId="Affiliations">
    <w:name w:val="Affiliations"/>
    <w:basedOn w:val="Normal"/>
    <w:qFormat/>
    <w:rsid w:val="002D51CC"/>
    <w:rPr>
      <w:rFonts w:eastAsia="Times New Roman"/>
      <w:sz w:val="20"/>
    </w:rPr>
  </w:style>
  <w:style w:type="character" w:customStyle="1" w:styleId="ColorfulGrid-Accent1Char">
    <w:name w:val="Colorful Grid - Accent 1 Char"/>
    <w:link w:val="ColorfulGrid-Accent11"/>
    <w:uiPriority w:val="29"/>
    <w:rsid w:val="00A0468E"/>
    <w:rPr>
      <w:rFonts w:ascii="Arial" w:hAnsi="Arial"/>
      <w:i/>
      <w:iCs/>
      <w:color w:val="7F7F7F"/>
      <w:sz w:val="24"/>
      <w:szCs w:val="24"/>
      <w:shd w:val="clear" w:color="auto" w:fill="F3F3F3"/>
      <w:lang w:eastAsia="en-US"/>
    </w:rPr>
  </w:style>
  <w:style w:type="table" w:customStyle="1" w:styleId="LightShading-Accent11">
    <w:name w:val="Light Shading - Accent 11"/>
    <w:basedOn w:val="TableNormal"/>
    <w:uiPriority w:val="60"/>
    <w:rsid w:val="00DE0837"/>
    <w:rPr>
      <w:rFonts w:ascii="Calibri" w:eastAsia="Times New Roman"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486D4B"/>
    <w:pPr>
      <w:spacing w:before="100" w:beforeAutospacing="1" w:after="100" w:afterAutospacing="1" w:line="240" w:lineRule="auto"/>
    </w:pPr>
    <w:rPr>
      <w:rFonts w:ascii="Times New Roman" w:eastAsia="Times New Roman" w:hAnsi="Times New Roman"/>
      <w:lang w:eastAsia="en-NZ"/>
    </w:rPr>
  </w:style>
  <w:style w:type="table" w:customStyle="1" w:styleId="LightList-Accent11">
    <w:name w:val="Light List - Accent 11"/>
    <w:basedOn w:val="TableNormal"/>
    <w:uiPriority w:val="61"/>
    <w:rsid w:val="00486D4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rsid w:val="00486D4B"/>
    <w:pPr>
      <w:spacing w:before="480" w:after="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rsid w:val="00BE186D"/>
    <w:pPr>
      <w:spacing w:before="240" w:after="120"/>
    </w:pPr>
    <w:rPr>
      <w:rFonts w:asciiTheme="minorHAnsi" w:hAnsiTheme="minorHAnsi"/>
      <w:b/>
      <w:bCs/>
      <w:sz w:val="20"/>
      <w:szCs w:val="20"/>
    </w:rPr>
  </w:style>
  <w:style w:type="paragraph" w:styleId="TOC2">
    <w:name w:val="toc 2"/>
    <w:basedOn w:val="Normal"/>
    <w:next w:val="Normal"/>
    <w:autoRedefine/>
    <w:uiPriority w:val="39"/>
    <w:rsid w:val="00B57432"/>
    <w:pPr>
      <w:spacing w:before="120" w:after="0"/>
      <w:ind w:left="220"/>
    </w:pPr>
    <w:rPr>
      <w:rFonts w:asciiTheme="minorHAnsi" w:hAnsiTheme="minorHAnsi"/>
      <w:i/>
      <w:iCs/>
      <w:sz w:val="20"/>
      <w:szCs w:val="20"/>
    </w:rPr>
  </w:style>
  <w:style w:type="paragraph" w:styleId="TOC3">
    <w:name w:val="toc 3"/>
    <w:basedOn w:val="Normal"/>
    <w:next w:val="Normal"/>
    <w:autoRedefine/>
    <w:uiPriority w:val="39"/>
    <w:rsid w:val="00B57432"/>
    <w:pPr>
      <w:spacing w:after="0"/>
      <w:ind w:left="440"/>
    </w:pPr>
    <w:rPr>
      <w:rFonts w:asciiTheme="minorHAnsi" w:hAnsiTheme="minorHAnsi"/>
      <w:sz w:val="20"/>
      <w:szCs w:val="20"/>
    </w:rPr>
  </w:style>
  <w:style w:type="numbering" w:customStyle="1" w:styleId="Style1">
    <w:name w:val="Style1"/>
    <w:uiPriority w:val="99"/>
    <w:rsid w:val="00B233B0"/>
    <w:pPr>
      <w:numPr>
        <w:numId w:val="3"/>
      </w:numPr>
    </w:pPr>
  </w:style>
  <w:style w:type="numbering" w:customStyle="1" w:styleId="Style2">
    <w:name w:val="Style2"/>
    <w:uiPriority w:val="99"/>
    <w:rsid w:val="00FA51EA"/>
    <w:pPr>
      <w:numPr>
        <w:numId w:val="5"/>
      </w:numPr>
    </w:pPr>
  </w:style>
  <w:style w:type="character" w:styleId="Emphasis">
    <w:name w:val="Emphasis"/>
    <w:uiPriority w:val="20"/>
    <w:qFormat/>
    <w:rsid w:val="00B10153"/>
    <w:rPr>
      <w:i/>
      <w:iCs/>
    </w:rPr>
  </w:style>
  <w:style w:type="character" w:customStyle="1" w:styleId="Heading5Char">
    <w:name w:val="Heading 5 Char"/>
    <w:link w:val="Heading5"/>
    <w:uiPriority w:val="9"/>
    <w:rsid w:val="004F241B"/>
    <w:rPr>
      <w:rFonts w:eastAsia="Times New Roman"/>
      <w:color w:val="243F60"/>
      <w:sz w:val="24"/>
      <w:szCs w:val="24"/>
    </w:rPr>
  </w:style>
  <w:style w:type="character" w:styleId="Strong">
    <w:name w:val="Strong"/>
    <w:uiPriority w:val="22"/>
    <w:qFormat/>
    <w:rsid w:val="004F241B"/>
    <w:rPr>
      <w:rFonts w:cs="Times New Roman"/>
      <w:b/>
      <w:bCs/>
    </w:rPr>
  </w:style>
  <w:style w:type="paragraph" w:customStyle="1" w:styleId="Default">
    <w:name w:val="Default"/>
    <w:rsid w:val="004F241B"/>
    <w:pPr>
      <w:autoSpaceDE w:val="0"/>
      <w:autoSpaceDN w:val="0"/>
      <w:adjustRightInd w:val="0"/>
    </w:pPr>
    <w:rPr>
      <w:rFonts w:ascii="Arial" w:eastAsia="Calibri" w:hAnsi="Arial" w:cs="Arial"/>
      <w:color w:val="000000"/>
      <w:sz w:val="24"/>
      <w:szCs w:val="24"/>
    </w:rPr>
  </w:style>
  <w:style w:type="character" w:customStyle="1" w:styleId="usercontent">
    <w:name w:val="usercontent"/>
    <w:uiPriority w:val="99"/>
    <w:rsid w:val="004F241B"/>
    <w:rPr>
      <w:rFonts w:cs="Times New Roman"/>
    </w:rPr>
  </w:style>
  <w:style w:type="character" w:customStyle="1" w:styleId="resultssummary">
    <w:name w:val="results_summary"/>
    <w:rsid w:val="004F241B"/>
    <w:rPr>
      <w:rFonts w:cs="Times New Roman"/>
    </w:rPr>
  </w:style>
  <w:style w:type="character" w:styleId="EndnoteReference">
    <w:name w:val="endnote reference"/>
    <w:uiPriority w:val="99"/>
    <w:semiHidden/>
    <w:rsid w:val="004F241B"/>
    <w:rPr>
      <w:rFonts w:cs="Times New Roman"/>
      <w:vertAlign w:val="superscript"/>
    </w:rPr>
  </w:style>
  <w:style w:type="character" w:customStyle="1" w:styleId="label">
    <w:name w:val="label"/>
    <w:basedOn w:val="DefaultParagraphFont"/>
    <w:rsid w:val="004F241B"/>
  </w:style>
  <w:style w:type="character" w:customStyle="1" w:styleId="cdc-decorated">
    <w:name w:val="cdc-decorated"/>
    <w:basedOn w:val="DefaultParagraphFont"/>
    <w:rsid w:val="004F241B"/>
  </w:style>
  <w:style w:type="paragraph" w:customStyle="1" w:styleId="References">
    <w:name w:val="References"/>
    <w:basedOn w:val="Normal"/>
    <w:link w:val="ReferencesChar"/>
    <w:qFormat/>
    <w:rsid w:val="006C15FC"/>
    <w:pPr>
      <w:spacing w:beforeLines="60" w:afterLines="60" w:line="240" w:lineRule="auto"/>
      <w:ind w:left="720" w:hanging="720"/>
    </w:pPr>
    <w:rPr>
      <w:sz w:val="20"/>
      <w:szCs w:val="20"/>
      <w:lang w:val="x-none"/>
    </w:rPr>
  </w:style>
  <w:style w:type="paragraph" w:customStyle="1" w:styleId="yiv1150034170msonormal">
    <w:name w:val="yiv1150034170msonormal"/>
    <w:basedOn w:val="Normal"/>
    <w:rsid w:val="004B539D"/>
    <w:pPr>
      <w:spacing w:before="100" w:beforeAutospacing="1" w:after="100" w:afterAutospacing="1" w:line="240" w:lineRule="auto"/>
    </w:pPr>
    <w:rPr>
      <w:rFonts w:ascii="Times New Roman" w:eastAsia="Calibri" w:hAnsi="Times New Roman"/>
      <w:lang w:eastAsia="en-NZ"/>
    </w:rPr>
  </w:style>
  <w:style w:type="character" w:customStyle="1" w:styleId="ReferencesChar">
    <w:name w:val="References Char"/>
    <w:link w:val="References"/>
    <w:rsid w:val="006C15FC"/>
    <w:rPr>
      <w:rFonts w:ascii="Arial" w:hAnsi="Arial"/>
      <w:lang w:eastAsia="en-US"/>
    </w:rPr>
  </w:style>
  <w:style w:type="character" w:customStyle="1" w:styleId="apple-converted-space">
    <w:name w:val="apple-converted-space"/>
    <w:basedOn w:val="DefaultParagraphFont"/>
    <w:rsid w:val="006B0813"/>
  </w:style>
  <w:style w:type="character" w:customStyle="1" w:styleId="SubtleReference1">
    <w:name w:val="Subtle Reference1"/>
    <w:aliases w:val="Footnote"/>
    <w:uiPriority w:val="31"/>
    <w:qFormat/>
    <w:rsid w:val="006B0813"/>
    <w:rPr>
      <w:rFonts w:ascii="Calibri" w:hAnsi="Calibri"/>
      <w:smallCaps/>
      <w:color w:val="auto"/>
      <w:sz w:val="20"/>
      <w:u w:val="none"/>
    </w:rPr>
  </w:style>
  <w:style w:type="paragraph" w:styleId="EndnoteText">
    <w:name w:val="endnote text"/>
    <w:basedOn w:val="Normal"/>
    <w:link w:val="EndnoteTextChar"/>
    <w:uiPriority w:val="99"/>
    <w:unhideWhenUsed/>
    <w:rsid w:val="006B0813"/>
    <w:pPr>
      <w:spacing w:after="0" w:line="240" w:lineRule="auto"/>
    </w:pPr>
    <w:rPr>
      <w:rFonts w:ascii="Calibri" w:eastAsia="Calibri" w:hAnsi="Calibri"/>
      <w:sz w:val="20"/>
      <w:szCs w:val="20"/>
      <w:lang w:val="x-none"/>
    </w:rPr>
  </w:style>
  <w:style w:type="character" w:customStyle="1" w:styleId="EndnoteTextChar">
    <w:name w:val="Endnote Text Char"/>
    <w:link w:val="EndnoteText"/>
    <w:uiPriority w:val="99"/>
    <w:rsid w:val="006B0813"/>
    <w:rPr>
      <w:rFonts w:ascii="Calibri" w:eastAsia="Calibri" w:hAnsi="Calibri" w:cs="Times New Roman"/>
      <w:lang w:eastAsia="en-US"/>
    </w:rPr>
  </w:style>
  <w:style w:type="character" w:customStyle="1" w:styleId="SubtleEmphasis1">
    <w:name w:val="Subtle Emphasis1"/>
    <w:uiPriority w:val="19"/>
    <w:qFormat/>
    <w:rsid w:val="006B0813"/>
    <w:rPr>
      <w:rFonts w:ascii="Calibri" w:hAnsi="Calibri"/>
      <w:b/>
      <w:i/>
      <w:iCs/>
      <w:color w:val="404040"/>
    </w:rPr>
  </w:style>
  <w:style w:type="paragraph" w:styleId="BodyTextIndent">
    <w:name w:val="Body Text Indent"/>
    <w:basedOn w:val="Normal"/>
    <w:link w:val="BodyTextIndentChar"/>
    <w:uiPriority w:val="99"/>
    <w:unhideWhenUsed/>
    <w:rsid w:val="006B0813"/>
    <w:pPr>
      <w:spacing w:after="0" w:line="240" w:lineRule="auto"/>
      <w:ind w:left="1440" w:hanging="1440"/>
    </w:pPr>
    <w:rPr>
      <w:rFonts w:ascii="Times" w:eastAsia="Times New Roman" w:hAnsi="Times"/>
      <w:color w:val="000000"/>
      <w:szCs w:val="20"/>
      <w:lang w:val="x-none" w:eastAsia="x-none"/>
    </w:rPr>
  </w:style>
  <w:style w:type="character" w:customStyle="1" w:styleId="BodyTextIndentChar">
    <w:name w:val="Body Text Indent Char"/>
    <w:link w:val="BodyTextIndent"/>
    <w:uiPriority w:val="99"/>
    <w:rsid w:val="006B0813"/>
    <w:rPr>
      <w:rFonts w:ascii="Times" w:eastAsia="Times New Roman" w:hAnsi="Times"/>
      <w:color w:val="000000"/>
      <w:sz w:val="24"/>
    </w:rPr>
  </w:style>
  <w:style w:type="character" w:customStyle="1" w:styleId="highlight">
    <w:name w:val="highlight"/>
    <w:basedOn w:val="DefaultParagraphFont"/>
    <w:rsid w:val="006B0813"/>
  </w:style>
  <w:style w:type="paragraph" w:customStyle="1" w:styleId="ColorfulShading-Accent12">
    <w:name w:val="Colorful Shading - Accent 12"/>
    <w:hidden/>
    <w:uiPriority w:val="99"/>
    <w:semiHidden/>
    <w:rsid w:val="006B0813"/>
    <w:rPr>
      <w:rFonts w:ascii="Calibri" w:eastAsia="Calibri" w:hAnsi="Calibri"/>
      <w:sz w:val="22"/>
      <w:szCs w:val="22"/>
      <w:lang w:eastAsia="en-US"/>
    </w:rPr>
  </w:style>
  <w:style w:type="character" w:customStyle="1" w:styleId="z3988">
    <w:name w:val="z3988"/>
    <w:basedOn w:val="DefaultParagraphFont"/>
    <w:rsid w:val="006B0813"/>
  </w:style>
  <w:style w:type="character" w:customStyle="1" w:styleId="resulturl">
    <w:name w:val="resulturl"/>
    <w:basedOn w:val="DefaultParagraphFont"/>
    <w:rsid w:val="006B0813"/>
  </w:style>
  <w:style w:type="character" w:styleId="HTMLCite">
    <w:name w:val="HTML Cite"/>
    <w:uiPriority w:val="99"/>
    <w:semiHidden/>
    <w:unhideWhenUsed/>
    <w:rsid w:val="006B0813"/>
    <w:rPr>
      <w:i/>
      <w:iCs/>
    </w:rPr>
  </w:style>
  <w:style w:type="character" w:customStyle="1" w:styleId="slug-pub-date">
    <w:name w:val="slug-pub-date"/>
    <w:basedOn w:val="DefaultParagraphFont"/>
    <w:rsid w:val="006B0813"/>
  </w:style>
  <w:style w:type="character" w:customStyle="1" w:styleId="slug-vol">
    <w:name w:val="slug-vol"/>
    <w:basedOn w:val="DefaultParagraphFont"/>
    <w:rsid w:val="006B0813"/>
  </w:style>
  <w:style w:type="character" w:customStyle="1" w:styleId="slug-issue">
    <w:name w:val="slug-issue"/>
    <w:basedOn w:val="DefaultParagraphFont"/>
    <w:rsid w:val="006B0813"/>
  </w:style>
  <w:style w:type="character" w:customStyle="1" w:styleId="slug-pages">
    <w:name w:val="slug-pages"/>
    <w:basedOn w:val="DefaultParagraphFont"/>
    <w:rsid w:val="006B0813"/>
  </w:style>
  <w:style w:type="paragraph" w:styleId="Subtitle">
    <w:name w:val="Subtitle"/>
    <w:basedOn w:val="Normal"/>
    <w:next w:val="Normal"/>
    <w:link w:val="SubtitleChar"/>
    <w:qFormat/>
    <w:rsid w:val="00F53B5C"/>
    <w:pPr>
      <w:numPr>
        <w:ilvl w:val="1"/>
      </w:numPr>
      <w:spacing w:after="200" w:line="276" w:lineRule="auto"/>
    </w:pPr>
    <w:rPr>
      <w:rFonts w:ascii="Cambria" w:eastAsia="Times New Roman" w:hAnsi="Cambria"/>
      <w:i/>
      <w:iCs/>
      <w:color w:val="4F81BD"/>
      <w:spacing w:val="15"/>
      <w:lang w:val="x-none"/>
    </w:rPr>
  </w:style>
  <w:style w:type="character" w:customStyle="1" w:styleId="SubtitleChar">
    <w:name w:val="Subtitle Char"/>
    <w:link w:val="Subtitle"/>
    <w:uiPriority w:val="11"/>
    <w:rsid w:val="00F53B5C"/>
    <w:rPr>
      <w:rFonts w:ascii="Cambria" w:eastAsia="Times New Roman" w:hAnsi="Cambria" w:cs="Times New Roman"/>
      <w:i/>
      <w:iCs/>
      <w:color w:val="4F81BD"/>
      <w:spacing w:val="15"/>
      <w:sz w:val="24"/>
      <w:szCs w:val="24"/>
      <w:lang w:eastAsia="en-US"/>
    </w:rPr>
  </w:style>
  <w:style w:type="paragraph" w:styleId="BodyText">
    <w:name w:val="Body Text"/>
    <w:basedOn w:val="Normal"/>
    <w:link w:val="BodyTextChar"/>
    <w:uiPriority w:val="99"/>
    <w:unhideWhenUsed/>
    <w:rsid w:val="00F53B5C"/>
    <w:pPr>
      <w:spacing w:after="120" w:line="276" w:lineRule="auto"/>
    </w:pPr>
    <w:rPr>
      <w:rFonts w:ascii="Calibri" w:eastAsia="Calibri" w:hAnsi="Calibri"/>
      <w:szCs w:val="22"/>
      <w:lang w:val="x-none"/>
    </w:rPr>
  </w:style>
  <w:style w:type="character" w:customStyle="1" w:styleId="BodyTextChar">
    <w:name w:val="Body Text Char"/>
    <w:link w:val="BodyText"/>
    <w:uiPriority w:val="99"/>
    <w:rsid w:val="00F53B5C"/>
    <w:rPr>
      <w:rFonts w:ascii="Calibri" w:eastAsia="Calibri" w:hAnsi="Calibri" w:cs="Times New Roman"/>
      <w:sz w:val="22"/>
      <w:szCs w:val="22"/>
      <w:lang w:eastAsia="en-US"/>
    </w:rPr>
  </w:style>
  <w:style w:type="paragraph" w:styleId="Caption">
    <w:name w:val="caption"/>
    <w:basedOn w:val="Normal"/>
    <w:next w:val="Normal"/>
    <w:uiPriority w:val="35"/>
    <w:qFormat/>
    <w:rsid w:val="00F53B5C"/>
    <w:pPr>
      <w:spacing w:after="200" w:line="240" w:lineRule="auto"/>
    </w:pPr>
    <w:rPr>
      <w:rFonts w:ascii="Calibri" w:eastAsia="Calibri" w:hAnsi="Calibri"/>
      <w:b/>
      <w:bCs/>
      <w:color w:val="4F81BD"/>
      <w:szCs w:val="18"/>
    </w:rPr>
  </w:style>
  <w:style w:type="paragraph" w:styleId="ListNumber">
    <w:name w:val="List Number"/>
    <w:basedOn w:val="Normal"/>
    <w:uiPriority w:val="99"/>
    <w:unhideWhenUsed/>
    <w:rsid w:val="00F53B5C"/>
    <w:pPr>
      <w:numPr>
        <w:numId w:val="6"/>
      </w:numPr>
      <w:spacing w:after="200" w:line="276" w:lineRule="auto"/>
      <w:ind w:left="357" w:hanging="357"/>
    </w:pPr>
    <w:rPr>
      <w:rFonts w:ascii="Calibri" w:eastAsia="Calibri" w:hAnsi="Calibri"/>
      <w:szCs w:val="22"/>
    </w:rPr>
  </w:style>
  <w:style w:type="paragraph" w:customStyle="1" w:styleId="ColorfulList-Accent13">
    <w:name w:val="Colorful List - Accent 13"/>
    <w:basedOn w:val="Normal"/>
    <w:uiPriority w:val="34"/>
    <w:qFormat/>
    <w:rsid w:val="00316F34"/>
    <w:pPr>
      <w:spacing w:after="0" w:line="240" w:lineRule="auto"/>
      <w:ind w:left="720"/>
      <w:contextualSpacing/>
    </w:pPr>
    <w:rPr>
      <w:rFonts w:ascii="Times New Roman" w:eastAsia="MS Mincho" w:hAnsi="Times New Roman"/>
      <w:lang w:val="en-AU"/>
    </w:rPr>
  </w:style>
  <w:style w:type="paragraph" w:styleId="TOCHeading">
    <w:name w:val="TOC Heading"/>
    <w:basedOn w:val="Heading1"/>
    <w:next w:val="Normal"/>
    <w:uiPriority w:val="39"/>
    <w:unhideWhenUsed/>
    <w:qFormat/>
    <w:rsid w:val="00F86B9C"/>
    <w:pPr>
      <w:numPr>
        <w:numId w:val="0"/>
      </w:numPr>
      <w:spacing w:before="480" w:after="0" w:line="276" w:lineRule="auto"/>
      <w:outlineLvl w:val="9"/>
    </w:pPr>
    <w:rPr>
      <w:rFonts w:ascii="Times New Roman" w:eastAsia="MS Gothic" w:hAnsi="Times New Roman"/>
      <w:color w:val="365F91"/>
      <w:sz w:val="28"/>
      <w:szCs w:val="28"/>
      <w:lang w:val="en-US"/>
    </w:rPr>
  </w:style>
  <w:style w:type="paragraph" w:styleId="TOC4">
    <w:name w:val="toc 4"/>
    <w:basedOn w:val="Normal"/>
    <w:next w:val="Normal"/>
    <w:autoRedefine/>
    <w:uiPriority w:val="39"/>
    <w:unhideWhenUsed/>
    <w:rsid w:val="00F86B9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86B9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86B9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86B9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86B9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86B9C"/>
    <w:pPr>
      <w:spacing w:after="0"/>
      <w:ind w:left="1760"/>
    </w:pPr>
    <w:rPr>
      <w:rFonts w:asciiTheme="minorHAnsi" w:hAnsiTheme="minorHAnsi"/>
      <w:sz w:val="20"/>
      <w:szCs w:val="20"/>
    </w:rPr>
  </w:style>
  <w:style w:type="table" w:styleId="DarkList">
    <w:name w:val="Dark List"/>
    <w:basedOn w:val="TableNormal"/>
    <w:uiPriority w:val="61"/>
    <w:rsid w:val="00F86B9C"/>
    <w:rPr>
      <w:rFonts w:ascii="Times New Roman" w:eastAsia="MS Mincho" w:hAnsi="Times New Roman"/>
      <w:sz w:val="24"/>
      <w:szCs w:val="24"/>
      <w:lang w:val="en-AU"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rsid w:val="00F86B9C"/>
    <w:rPr>
      <w:rFonts w:ascii="Times New Roman" w:eastAsia="MS Mincho" w:hAnsi="Times New Roman"/>
      <w:color w:val="000000"/>
      <w:sz w:val="24"/>
      <w:szCs w:val="24"/>
      <w:lang w:val="en-A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21">
    <w:name w:val="Medium Grid 21"/>
    <w:uiPriority w:val="1"/>
    <w:qFormat/>
    <w:rsid w:val="00F86B9C"/>
    <w:rPr>
      <w:rFonts w:ascii="Times New Roman" w:eastAsia="MS Mincho" w:hAnsi="Times New Roman"/>
      <w:sz w:val="24"/>
      <w:szCs w:val="24"/>
      <w:lang w:val="en-AU" w:eastAsia="en-US"/>
    </w:rPr>
  </w:style>
  <w:style w:type="paragraph" w:customStyle="1" w:styleId="Normal1">
    <w:name w:val="Normal1"/>
    <w:rsid w:val="003A290A"/>
    <w:pPr>
      <w:spacing w:before="120"/>
    </w:pPr>
    <w:rPr>
      <w:rFonts w:ascii="Arial Mäori" w:eastAsia="Arial Mäori" w:hAnsi="Arial Mäori" w:cs="Arial Mäori"/>
      <w:color w:val="000000"/>
      <w:sz w:val="22"/>
      <w:lang w:eastAsia="en-US"/>
    </w:rPr>
  </w:style>
  <w:style w:type="character" w:customStyle="1" w:styleId="Heading6Char">
    <w:name w:val="Heading 6 Char"/>
    <w:link w:val="Heading6"/>
    <w:rsid w:val="00126DD7"/>
    <w:rPr>
      <w:rFonts w:ascii="Arial Mäori" w:eastAsia="Arial Mäori" w:hAnsi="Arial Mäori" w:cs="Arial Mäori"/>
      <w:b/>
      <w:color w:val="000000"/>
      <w:lang w:eastAsia="en-US"/>
    </w:rPr>
  </w:style>
  <w:style w:type="paragraph" w:customStyle="1" w:styleId="EndNoteBibliographyTitle">
    <w:name w:val="EndNote Bibliography Title"/>
    <w:basedOn w:val="Normal"/>
    <w:rsid w:val="00126DD7"/>
    <w:pPr>
      <w:spacing w:before="120" w:after="0" w:line="240" w:lineRule="auto"/>
      <w:jc w:val="center"/>
    </w:pPr>
    <w:rPr>
      <w:rFonts w:eastAsia="Arial Mäori" w:cs="Arial"/>
      <w:color w:val="000000"/>
      <w:sz w:val="20"/>
      <w:szCs w:val="20"/>
      <w:lang w:val="en-US"/>
    </w:rPr>
  </w:style>
  <w:style w:type="paragraph" w:customStyle="1" w:styleId="EndNoteBibliography">
    <w:name w:val="EndNote Bibliography"/>
    <w:basedOn w:val="Normal"/>
    <w:link w:val="EndNoteBibliographyChar"/>
    <w:rsid w:val="00126DD7"/>
    <w:pPr>
      <w:spacing w:before="120" w:after="0" w:line="240" w:lineRule="auto"/>
    </w:pPr>
    <w:rPr>
      <w:rFonts w:eastAsia="Arial Mäori" w:cs="Arial"/>
      <w:color w:val="000000"/>
      <w:sz w:val="20"/>
      <w:szCs w:val="20"/>
      <w:lang w:val="en-US"/>
    </w:rPr>
  </w:style>
  <w:style w:type="paragraph" w:customStyle="1" w:styleId="ColorfulShading-Accent13">
    <w:name w:val="Colorful Shading - Accent 13"/>
    <w:hidden/>
    <w:uiPriority w:val="99"/>
    <w:semiHidden/>
    <w:rsid w:val="00126DD7"/>
    <w:rPr>
      <w:rFonts w:ascii="Arial Mäori" w:eastAsia="Arial Mäori" w:hAnsi="Arial Mäori" w:cs="Arial Mäori"/>
      <w:color w:val="000000"/>
      <w:sz w:val="22"/>
      <w:lang w:eastAsia="en-US"/>
    </w:rPr>
  </w:style>
  <w:style w:type="paragraph" w:styleId="ListParagraph">
    <w:name w:val="List Paragraph"/>
    <w:basedOn w:val="Normal"/>
    <w:link w:val="ListParagraphChar"/>
    <w:uiPriority w:val="34"/>
    <w:qFormat/>
    <w:rsid w:val="00845B20"/>
    <w:pPr>
      <w:spacing w:after="0" w:line="240" w:lineRule="auto"/>
      <w:ind w:left="720"/>
    </w:pPr>
    <w:rPr>
      <w:rFonts w:ascii="Calibri" w:eastAsia="Verdana" w:hAnsi="Calibri"/>
      <w:szCs w:val="20"/>
    </w:rPr>
  </w:style>
  <w:style w:type="character" w:customStyle="1" w:styleId="EndNoteBibliographyChar">
    <w:name w:val="EndNote Bibliography Char"/>
    <w:link w:val="EndNoteBibliography"/>
    <w:rsid w:val="009F32B2"/>
    <w:rPr>
      <w:rFonts w:ascii="Arial" w:eastAsia="Arial Mäori" w:hAnsi="Arial" w:cs="Arial"/>
      <w:color w:val="000000"/>
      <w:lang w:val="en-US" w:eastAsia="en-US"/>
    </w:rPr>
  </w:style>
  <w:style w:type="table" w:customStyle="1" w:styleId="ListTable6Colorful-Accent51">
    <w:name w:val="List Table 6 Colorful - Accent 51"/>
    <w:basedOn w:val="TableNormal"/>
    <w:uiPriority w:val="51"/>
    <w:rsid w:val="009F32B2"/>
    <w:rPr>
      <w:rFonts w:ascii="Calibri" w:eastAsia="Verdana" w:hAnsi="Calibri"/>
      <w:color w:val="2F5496"/>
      <w:sz w:val="22"/>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les-title">
    <w:name w:val="titles-title"/>
    <w:rsid w:val="007A17A6"/>
  </w:style>
  <w:style w:type="paragraph" w:customStyle="1" w:styleId="NZFVCheading1">
    <w:name w:val="NZFVC heading 1"/>
    <w:basedOn w:val="ListParagraph"/>
    <w:qFormat/>
    <w:rsid w:val="007D5B6D"/>
    <w:pPr>
      <w:numPr>
        <w:numId w:val="7"/>
      </w:numPr>
      <w:spacing w:after="180"/>
      <w:ind w:left="357" w:hanging="357"/>
      <w:contextualSpacing/>
    </w:pPr>
    <w:rPr>
      <w:rFonts w:ascii="Arial" w:eastAsiaTheme="minorHAnsi" w:hAnsi="Arial" w:cstheme="minorBidi"/>
      <w:b/>
      <w:color w:val="17365D"/>
      <w:sz w:val="32"/>
      <w:szCs w:val="32"/>
      <w:lang w:val="en-AU"/>
    </w:rPr>
  </w:style>
  <w:style w:type="paragraph" w:customStyle="1" w:styleId="NZFVCparagraph">
    <w:name w:val="NZFVC paragraph"/>
    <w:basedOn w:val="Normal"/>
    <w:qFormat/>
    <w:rsid w:val="00306BB8"/>
    <w:pPr>
      <w:spacing w:after="180" w:line="240" w:lineRule="auto"/>
    </w:pPr>
    <w:rPr>
      <w:rFonts w:asciiTheme="minorHAnsi" w:eastAsiaTheme="minorHAnsi" w:hAnsiTheme="minorHAnsi" w:cstheme="minorBidi"/>
      <w:color w:val="000000" w:themeColor="text1"/>
      <w:sz w:val="24"/>
      <w:lang w:val="en-GB"/>
    </w:rPr>
  </w:style>
  <w:style w:type="paragraph" w:customStyle="1" w:styleId="OJCparagraph">
    <w:name w:val="OJC paragraph"/>
    <w:basedOn w:val="ListParagraph"/>
    <w:qFormat/>
    <w:rsid w:val="00306BB8"/>
    <w:pPr>
      <w:spacing w:line="480" w:lineRule="auto"/>
      <w:ind w:left="0" w:firstLine="380"/>
      <w:contextualSpacing/>
    </w:pPr>
    <w:rPr>
      <w:rFonts w:ascii="Hoefler Text" w:eastAsiaTheme="minorEastAsia" w:hAnsi="Hoefler Text" w:cstheme="minorBidi"/>
      <w:sz w:val="24"/>
      <w:szCs w:val="28"/>
      <w:lang w:val="en-GB"/>
    </w:rPr>
  </w:style>
  <w:style w:type="paragraph" w:customStyle="1" w:styleId="OJCReference">
    <w:name w:val="OJCReference"/>
    <w:basedOn w:val="Normal"/>
    <w:qFormat/>
    <w:rsid w:val="00306BB8"/>
    <w:pPr>
      <w:spacing w:after="0" w:line="480" w:lineRule="auto"/>
      <w:ind w:left="380" w:hanging="380"/>
    </w:pPr>
    <w:rPr>
      <w:rFonts w:ascii="Hoefler Text" w:eastAsia="Times New Roman" w:hAnsi="Hoefler Text" w:cs="Arial"/>
      <w:color w:val="000000"/>
      <w:sz w:val="24"/>
      <w:shd w:val="clear" w:color="auto" w:fill="FFFFFF"/>
    </w:rPr>
  </w:style>
  <w:style w:type="paragraph" w:customStyle="1" w:styleId="NZFVCbulletedlist">
    <w:name w:val="NZFVC bulleted list"/>
    <w:basedOn w:val="NZFVCparagraph"/>
    <w:qFormat/>
    <w:rsid w:val="00306BB8"/>
    <w:pPr>
      <w:numPr>
        <w:numId w:val="8"/>
      </w:numPr>
      <w:ind w:left="284" w:hanging="284"/>
    </w:pPr>
  </w:style>
  <w:style w:type="paragraph" w:customStyle="1" w:styleId="NZFVCreference">
    <w:name w:val="NZFVC reference"/>
    <w:basedOn w:val="NZFVCparagraph"/>
    <w:qFormat/>
    <w:rsid w:val="00306BB8"/>
    <w:pPr>
      <w:spacing w:after="0"/>
      <w:ind w:left="720" w:hanging="720"/>
    </w:pPr>
  </w:style>
  <w:style w:type="paragraph" w:styleId="Revision">
    <w:name w:val="Revision"/>
    <w:hidden/>
    <w:uiPriority w:val="99"/>
    <w:semiHidden/>
    <w:rsid w:val="00306BB8"/>
    <w:rPr>
      <w:rFonts w:asciiTheme="minorHAnsi" w:eastAsiaTheme="minorHAnsi" w:hAnsiTheme="minorHAnsi" w:cstheme="minorBidi"/>
      <w:sz w:val="24"/>
      <w:szCs w:val="24"/>
      <w:lang w:val="en-US" w:eastAsia="en-US"/>
    </w:rPr>
  </w:style>
  <w:style w:type="character" w:customStyle="1" w:styleId="author">
    <w:name w:val="author"/>
    <w:basedOn w:val="DefaultParagraphFont"/>
    <w:rsid w:val="00306BB8"/>
  </w:style>
  <w:style w:type="table" w:customStyle="1" w:styleId="TableGrid1">
    <w:name w:val="Table Grid1"/>
    <w:basedOn w:val="TableNormal"/>
    <w:next w:val="TableGrid"/>
    <w:uiPriority w:val="39"/>
    <w:rsid w:val="00E62F8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185D"/>
    <w:rPr>
      <w:rFonts w:ascii="Arial" w:hAnsi="Arial"/>
      <w:sz w:val="22"/>
      <w:szCs w:val="24"/>
      <w:lang w:eastAsia="en-US"/>
    </w:rPr>
  </w:style>
  <w:style w:type="character" w:customStyle="1" w:styleId="ListParagraphChar">
    <w:name w:val="List Paragraph Char"/>
    <w:basedOn w:val="DefaultParagraphFont"/>
    <w:link w:val="ListParagraph"/>
    <w:uiPriority w:val="34"/>
    <w:locked/>
    <w:rsid w:val="00C17CAE"/>
    <w:rPr>
      <w:rFonts w:ascii="Calibri" w:eastAsia="Verdana" w:hAnsi="Calibri"/>
      <w:sz w:val="22"/>
      <w:lang w:eastAsia="en-US"/>
    </w:rPr>
  </w:style>
  <w:style w:type="table" w:customStyle="1" w:styleId="TableGrid5">
    <w:name w:val="Table Grid5"/>
    <w:basedOn w:val="TableNormal"/>
    <w:next w:val="TableGrid"/>
    <w:rsid w:val="003146D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052"/>
    <w:rPr>
      <w:color w:val="605E5C"/>
      <w:shd w:val="clear" w:color="auto" w:fill="E1DFDD"/>
    </w:rPr>
  </w:style>
  <w:style w:type="character" w:customStyle="1" w:styleId="authors">
    <w:name w:val="authors"/>
    <w:basedOn w:val="DefaultParagraphFont"/>
    <w:rsid w:val="00A06052"/>
  </w:style>
  <w:style w:type="character" w:customStyle="1" w:styleId="Date1">
    <w:name w:val="Date1"/>
    <w:basedOn w:val="DefaultParagraphFont"/>
    <w:rsid w:val="00A06052"/>
  </w:style>
  <w:style w:type="character" w:customStyle="1" w:styleId="arttitle">
    <w:name w:val="art_title"/>
    <w:basedOn w:val="DefaultParagraphFont"/>
    <w:rsid w:val="00A06052"/>
  </w:style>
  <w:style w:type="character" w:customStyle="1" w:styleId="serialtitle">
    <w:name w:val="serial_title"/>
    <w:basedOn w:val="DefaultParagraphFont"/>
    <w:rsid w:val="00A06052"/>
  </w:style>
  <w:style w:type="character" w:customStyle="1" w:styleId="doilink">
    <w:name w:val="doi_link"/>
    <w:basedOn w:val="DefaultParagraphFont"/>
    <w:rsid w:val="00A06052"/>
  </w:style>
  <w:style w:type="character" w:customStyle="1" w:styleId="cls-response">
    <w:name w:val="cls-response"/>
    <w:basedOn w:val="DefaultParagraphFont"/>
    <w:rsid w:val="00714CC3"/>
  </w:style>
  <w:style w:type="character" w:customStyle="1" w:styleId="label1">
    <w:name w:val="label1"/>
    <w:rsid w:val="00187209"/>
  </w:style>
  <w:style w:type="character" w:customStyle="1" w:styleId="resultssummary2">
    <w:name w:val="results_summary2"/>
    <w:rsid w:val="00187209"/>
    <w:rPr>
      <w:vanish w:val="0"/>
      <w:webHidden w:val="0"/>
      <w:color w:val="333333"/>
      <w:sz w:val="24"/>
      <w:szCs w:val="24"/>
      <w:specVanish w:val="0"/>
    </w:rPr>
  </w:style>
  <w:style w:type="character" w:customStyle="1" w:styleId="st">
    <w:name w:val="st"/>
    <w:rsid w:val="00187209"/>
  </w:style>
  <w:style w:type="paragraph" w:styleId="Quote">
    <w:name w:val="Quote"/>
    <w:basedOn w:val="Normal"/>
    <w:next w:val="Normal"/>
    <w:link w:val="QuoteChar"/>
    <w:autoRedefine/>
    <w:qFormat/>
    <w:rsid w:val="0021755C"/>
    <w:pPr>
      <w:ind w:left="720"/>
      <w:jc w:val="both"/>
    </w:pPr>
    <w:rPr>
      <w:rFonts w:eastAsia="Times New Roman" w:cs="Arial"/>
      <w:i/>
      <w:iCs/>
      <w:color w:val="000000"/>
      <w:szCs w:val="22"/>
    </w:rPr>
  </w:style>
  <w:style w:type="character" w:customStyle="1" w:styleId="QuoteChar">
    <w:name w:val="Quote Char"/>
    <w:basedOn w:val="DefaultParagraphFont"/>
    <w:link w:val="Quote"/>
    <w:rsid w:val="0021755C"/>
    <w:rPr>
      <w:rFonts w:ascii="Arial" w:eastAsia="Times New Roman" w:hAnsi="Arial" w:cs="Arial"/>
      <w:i/>
      <w:iCs/>
      <w:color w:val="000000"/>
      <w:sz w:val="22"/>
      <w:szCs w:val="22"/>
      <w:lang w:eastAsia="en-US"/>
    </w:rPr>
  </w:style>
  <w:style w:type="character" w:customStyle="1" w:styleId="NoSpacingChar">
    <w:name w:val="No Spacing Char"/>
    <w:basedOn w:val="DefaultParagraphFont"/>
    <w:link w:val="NoSpacing"/>
    <w:uiPriority w:val="1"/>
    <w:rsid w:val="00890F6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528">
      <w:bodyDiv w:val="1"/>
      <w:marLeft w:val="0"/>
      <w:marRight w:val="0"/>
      <w:marTop w:val="0"/>
      <w:marBottom w:val="0"/>
      <w:divBdr>
        <w:top w:val="none" w:sz="0" w:space="0" w:color="auto"/>
        <w:left w:val="none" w:sz="0" w:space="0" w:color="auto"/>
        <w:bottom w:val="none" w:sz="0" w:space="0" w:color="auto"/>
        <w:right w:val="none" w:sz="0" w:space="0" w:color="auto"/>
      </w:divBdr>
      <w:divsChild>
        <w:div w:id="44765259">
          <w:marLeft w:val="0"/>
          <w:marRight w:val="0"/>
          <w:marTop w:val="0"/>
          <w:marBottom w:val="0"/>
          <w:divBdr>
            <w:top w:val="none" w:sz="0" w:space="0" w:color="auto"/>
            <w:left w:val="none" w:sz="0" w:space="0" w:color="auto"/>
            <w:bottom w:val="none" w:sz="0" w:space="0" w:color="auto"/>
            <w:right w:val="none" w:sz="0" w:space="0" w:color="auto"/>
          </w:divBdr>
        </w:div>
        <w:div w:id="294485606">
          <w:marLeft w:val="0"/>
          <w:marRight w:val="0"/>
          <w:marTop w:val="0"/>
          <w:marBottom w:val="0"/>
          <w:divBdr>
            <w:top w:val="none" w:sz="0" w:space="0" w:color="auto"/>
            <w:left w:val="none" w:sz="0" w:space="0" w:color="auto"/>
            <w:bottom w:val="none" w:sz="0" w:space="0" w:color="auto"/>
            <w:right w:val="none" w:sz="0" w:space="0" w:color="auto"/>
          </w:divBdr>
        </w:div>
        <w:div w:id="930353977">
          <w:marLeft w:val="0"/>
          <w:marRight w:val="0"/>
          <w:marTop w:val="0"/>
          <w:marBottom w:val="0"/>
          <w:divBdr>
            <w:top w:val="none" w:sz="0" w:space="0" w:color="auto"/>
            <w:left w:val="none" w:sz="0" w:space="0" w:color="auto"/>
            <w:bottom w:val="none" w:sz="0" w:space="0" w:color="auto"/>
            <w:right w:val="none" w:sz="0" w:space="0" w:color="auto"/>
          </w:divBdr>
        </w:div>
      </w:divsChild>
    </w:div>
    <w:div w:id="61872795">
      <w:bodyDiv w:val="1"/>
      <w:marLeft w:val="0"/>
      <w:marRight w:val="0"/>
      <w:marTop w:val="0"/>
      <w:marBottom w:val="0"/>
      <w:divBdr>
        <w:top w:val="none" w:sz="0" w:space="0" w:color="auto"/>
        <w:left w:val="none" w:sz="0" w:space="0" w:color="auto"/>
        <w:bottom w:val="none" w:sz="0" w:space="0" w:color="auto"/>
        <w:right w:val="none" w:sz="0" w:space="0" w:color="auto"/>
      </w:divBdr>
      <w:divsChild>
        <w:div w:id="1434669405">
          <w:marLeft w:val="0"/>
          <w:marRight w:val="0"/>
          <w:marTop w:val="0"/>
          <w:marBottom w:val="0"/>
          <w:divBdr>
            <w:top w:val="none" w:sz="0" w:space="0" w:color="auto"/>
            <w:left w:val="none" w:sz="0" w:space="0" w:color="auto"/>
            <w:bottom w:val="none" w:sz="0" w:space="0" w:color="auto"/>
            <w:right w:val="none" w:sz="0" w:space="0" w:color="auto"/>
          </w:divBdr>
        </w:div>
        <w:div w:id="1770617858">
          <w:marLeft w:val="0"/>
          <w:marRight w:val="0"/>
          <w:marTop w:val="0"/>
          <w:marBottom w:val="0"/>
          <w:divBdr>
            <w:top w:val="none" w:sz="0" w:space="0" w:color="auto"/>
            <w:left w:val="none" w:sz="0" w:space="0" w:color="auto"/>
            <w:bottom w:val="none" w:sz="0" w:space="0" w:color="auto"/>
            <w:right w:val="none" w:sz="0" w:space="0" w:color="auto"/>
          </w:divBdr>
        </w:div>
        <w:div w:id="2114862934">
          <w:marLeft w:val="0"/>
          <w:marRight w:val="0"/>
          <w:marTop w:val="0"/>
          <w:marBottom w:val="0"/>
          <w:divBdr>
            <w:top w:val="none" w:sz="0" w:space="0" w:color="auto"/>
            <w:left w:val="none" w:sz="0" w:space="0" w:color="auto"/>
            <w:bottom w:val="none" w:sz="0" w:space="0" w:color="auto"/>
            <w:right w:val="none" w:sz="0" w:space="0" w:color="auto"/>
          </w:divBdr>
        </w:div>
      </w:divsChild>
    </w:div>
    <w:div w:id="107704081">
      <w:bodyDiv w:val="1"/>
      <w:marLeft w:val="0"/>
      <w:marRight w:val="0"/>
      <w:marTop w:val="0"/>
      <w:marBottom w:val="0"/>
      <w:divBdr>
        <w:top w:val="none" w:sz="0" w:space="0" w:color="auto"/>
        <w:left w:val="none" w:sz="0" w:space="0" w:color="auto"/>
        <w:bottom w:val="none" w:sz="0" w:space="0" w:color="auto"/>
        <w:right w:val="none" w:sz="0" w:space="0" w:color="auto"/>
      </w:divBdr>
    </w:div>
    <w:div w:id="150950900">
      <w:bodyDiv w:val="1"/>
      <w:marLeft w:val="0"/>
      <w:marRight w:val="0"/>
      <w:marTop w:val="0"/>
      <w:marBottom w:val="0"/>
      <w:divBdr>
        <w:top w:val="none" w:sz="0" w:space="0" w:color="auto"/>
        <w:left w:val="none" w:sz="0" w:space="0" w:color="auto"/>
        <w:bottom w:val="none" w:sz="0" w:space="0" w:color="auto"/>
        <w:right w:val="none" w:sz="0" w:space="0" w:color="auto"/>
      </w:divBdr>
    </w:div>
    <w:div w:id="190412707">
      <w:bodyDiv w:val="1"/>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 w:id="1284994958">
          <w:marLeft w:val="0"/>
          <w:marRight w:val="0"/>
          <w:marTop w:val="0"/>
          <w:marBottom w:val="0"/>
          <w:divBdr>
            <w:top w:val="none" w:sz="0" w:space="0" w:color="auto"/>
            <w:left w:val="none" w:sz="0" w:space="0" w:color="auto"/>
            <w:bottom w:val="none" w:sz="0" w:space="0" w:color="auto"/>
            <w:right w:val="none" w:sz="0" w:space="0" w:color="auto"/>
          </w:divBdr>
        </w:div>
      </w:divsChild>
    </w:div>
    <w:div w:id="217791815">
      <w:bodyDiv w:val="1"/>
      <w:marLeft w:val="0"/>
      <w:marRight w:val="0"/>
      <w:marTop w:val="0"/>
      <w:marBottom w:val="0"/>
      <w:divBdr>
        <w:top w:val="none" w:sz="0" w:space="0" w:color="auto"/>
        <w:left w:val="none" w:sz="0" w:space="0" w:color="auto"/>
        <w:bottom w:val="none" w:sz="0" w:space="0" w:color="auto"/>
        <w:right w:val="none" w:sz="0" w:space="0" w:color="auto"/>
      </w:divBdr>
    </w:div>
    <w:div w:id="218445148">
      <w:bodyDiv w:val="1"/>
      <w:marLeft w:val="0"/>
      <w:marRight w:val="0"/>
      <w:marTop w:val="0"/>
      <w:marBottom w:val="0"/>
      <w:divBdr>
        <w:top w:val="none" w:sz="0" w:space="0" w:color="auto"/>
        <w:left w:val="none" w:sz="0" w:space="0" w:color="auto"/>
        <w:bottom w:val="none" w:sz="0" w:space="0" w:color="auto"/>
        <w:right w:val="none" w:sz="0" w:space="0" w:color="auto"/>
      </w:divBdr>
      <w:divsChild>
        <w:div w:id="321393424">
          <w:marLeft w:val="0"/>
          <w:marRight w:val="0"/>
          <w:marTop w:val="0"/>
          <w:marBottom w:val="0"/>
          <w:divBdr>
            <w:top w:val="none" w:sz="0" w:space="0" w:color="auto"/>
            <w:left w:val="none" w:sz="0" w:space="0" w:color="auto"/>
            <w:bottom w:val="none" w:sz="0" w:space="0" w:color="auto"/>
            <w:right w:val="none" w:sz="0" w:space="0" w:color="auto"/>
          </w:divBdr>
        </w:div>
        <w:div w:id="385107788">
          <w:marLeft w:val="0"/>
          <w:marRight w:val="0"/>
          <w:marTop w:val="0"/>
          <w:marBottom w:val="0"/>
          <w:divBdr>
            <w:top w:val="none" w:sz="0" w:space="0" w:color="auto"/>
            <w:left w:val="none" w:sz="0" w:space="0" w:color="auto"/>
            <w:bottom w:val="none" w:sz="0" w:space="0" w:color="auto"/>
            <w:right w:val="none" w:sz="0" w:space="0" w:color="auto"/>
          </w:divBdr>
        </w:div>
        <w:div w:id="438064448">
          <w:marLeft w:val="0"/>
          <w:marRight w:val="0"/>
          <w:marTop w:val="0"/>
          <w:marBottom w:val="0"/>
          <w:divBdr>
            <w:top w:val="none" w:sz="0" w:space="0" w:color="auto"/>
            <w:left w:val="none" w:sz="0" w:space="0" w:color="auto"/>
            <w:bottom w:val="none" w:sz="0" w:space="0" w:color="auto"/>
            <w:right w:val="none" w:sz="0" w:space="0" w:color="auto"/>
          </w:divBdr>
        </w:div>
        <w:div w:id="513804562">
          <w:marLeft w:val="0"/>
          <w:marRight w:val="0"/>
          <w:marTop w:val="0"/>
          <w:marBottom w:val="0"/>
          <w:divBdr>
            <w:top w:val="none" w:sz="0" w:space="0" w:color="auto"/>
            <w:left w:val="none" w:sz="0" w:space="0" w:color="auto"/>
            <w:bottom w:val="none" w:sz="0" w:space="0" w:color="auto"/>
            <w:right w:val="none" w:sz="0" w:space="0" w:color="auto"/>
          </w:divBdr>
        </w:div>
        <w:div w:id="528029957">
          <w:marLeft w:val="0"/>
          <w:marRight w:val="0"/>
          <w:marTop w:val="0"/>
          <w:marBottom w:val="0"/>
          <w:divBdr>
            <w:top w:val="none" w:sz="0" w:space="0" w:color="auto"/>
            <w:left w:val="none" w:sz="0" w:space="0" w:color="auto"/>
            <w:bottom w:val="none" w:sz="0" w:space="0" w:color="auto"/>
            <w:right w:val="none" w:sz="0" w:space="0" w:color="auto"/>
          </w:divBdr>
        </w:div>
        <w:div w:id="1117917207">
          <w:marLeft w:val="0"/>
          <w:marRight w:val="0"/>
          <w:marTop w:val="0"/>
          <w:marBottom w:val="0"/>
          <w:divBdr>
            <w:top w:val="none" w:sz="0" w:space="0" w:color="auto"/>
            <w:left w:val="none" w:sz="0" w:space="0" w:color="auto"/>
            <w:bottom w:val="none" w:sz="0" w:space="0" w:color="auto"/>
            <w:right w:val="none" w:sz="0" w:space="0" w:color="auto"/>
          </w:divBdr>
        </w:div>
        <w:div w:id="1237783537">
          <w:marLeft w:val="0"/>
          <w:marRight w:val="0"/>
          <w:marTop w:val="0"/>
          <w:marBottom w:val="0"/>
          <w:divBdr>
            <w:top w:val="none" w:sz="0" w:space="0" w:color="auto"/>
            <w:left w:val="none" w:sz="0" w:space="0" w:color="auto"/>
            <w:bottom w:val="none" w:sz="0" w:space="0" w:color="auto"/>
            <w:right w:val="none" w:sz="0" w:space="0" w:color="auto"/>
          </w:divBdr>
        </w:div>
        <w:div w:id="1377510308">
          <w:marLeft w:val="0"/>
          <w:marRight w:val="0"/>
          <w:marTop w:val="0"/>
          <w:marBottom w:val="0"/>
          <w:divBdr>
            <w:top w:val="none" w:sz="0" w:space="0" w:color="auto"/>
            <w:left w:val="none" w:sz="0" w:space="0" w:color="auto"/>
            <w:bottom w:val="none" w:sz="0" w:space="0" w:color="auto"/>
            <w:right w:val="none" w:sz="0" w:space="0" w:color="auto"/>
          </w:divBdr>
        </w:div>
        <w:div w:id="1406998096">
          <w:marLeft w:val="0"/>
          <w:marRight w:val="0"/>
          <w:marTop w:val="0"/>
          <w:marBottom w:val="0"/>
          <w:divBdr>
            <w:top w:val="none" w:sz="0" w:space="0" w:color="auto"/>
            <w:left w:val="none" w:sz="0" w:space="0" w:color="auto"/>
            <w:bottom w:val="none" w:sz="0" w:space="0" w:color="auto"/>
            <w:right w:val="none" w:sz="0" w:space="0" w:color="auto"/>
          </w:divBdr>
        </w:div>
        <w:div w:id="1466774405">
          <w:marLeft w:val="0"/>
          <w:marRight w:val="0"/>
          <w:marTop w:val="0"/>
          <w:marBottom w:val="0"/>
          <w:divBdr>
            <w:top w:val="none" w:sz="0" w:space="0" w:color="auto"/>
            <w:left w:val="none" w:sz="0" w:space="0" w:color="auto"/>
            <w:bottom w:val="none" w:sz="0" w:space="0" w:color="auto"/>
            <w:right w:val="none" w:sz="0" w:space="0" w:color="auto"/>
          </w:divBdr>
        </w:div>
        <w:div w:id="1549029645">
          <w:marLeft w:val="0"/>
          <w:marRight w:val="0"/>
          <w:marTop w:val="0"/>
          <w:marBottom w:val="0"/>
          <w:divBdr>
            <w:top w:val="none" w:sz="0" w:space="0" w:color="auto"/>
            <w:left w:val="none" w:sz="0" w:space="0" w:color="auto"/>
            <w:bottom w:val="none" w:sz="0" w:space="0" w:color="auto"/>
            <w:right w:val="none" w:sz="0" w:space="0" w:color="auto"/>
          </w:divBdr>
        </w:div>
        <w:div w:id="1754203806">
          <w:marLeft w:val="0"/>
          <w:marRight w:val="0"/>
          <w:marTop w:val="0"/>
          <w:marBottom w:val="0"/>
          <w:divBdr>
            <w:top w:val="none" w:sz="0" w:space="0" w:color="auto"/>
            <w:left w:val="none" w:sz="0" w:space="0" w:color="auto"/>
            <w:bottom w:val="none" w:sz="0" w:space="0" w:color="auto"/>
            <w:right w:val="none" w:sz="0" w:space="0" w:color="auto"/>
          </w:divBdr>
        </w:div>
        <w:div w:id="1909416671">
          <w:marLeft w:val="0"/>
          <w:marRight w:val="0"/>
          <w:marTop w:val="0"/>
          <w:marBottom w:val="0"/>
          <w:divBdr>
            <w:top w:val="none" w:sz="0" w:space="0" w:color="auto"/>
            <w:left w:val="none" w:sz="0" w:space="0" w:color="auto"/>
            <w:bottom w:val="none" w:sz="0" w:space="0" w:color="auto"/>
            <w:right w:val="none" w:sz="0" w:space="0" w:color="auto"/>
          </w:divBdr>
        </w:div>
      </w:divsChild>
    </w:div>
    <w:div w:id="236744386">
      <w:bodyDiv w:val="1"/>
      <w:marLeft w:val="0"/>
      <w:marRight w:val="0"/>
      <w:marTop w:val="0"/>
      <w:marBottom w:val="0"/>
      <w:divBdr>
        <w:top w:val="none" w:sz="0" w:space="0" w:color="auto"/>
        <w:left w:val="none" w:sz="0" w:space="0" w:color="auto"/>
        <w:bottom w:val="none" w:sz="0" w:space="0" w:color="auto"/>
        <w:right w:val="none" w:sz="0" w:space="0" w:color="auto"/>
      </w:divBdr>
    </w:div>
    <w:div w:id="294795529">
      <w:bodyDiv w:val="1"/>
      <w:marLeft w:val="0"/>
      <w:marRight w:val="0"/>
      <w:marTop w:val="0"/>
      <w:marBottom w:val="0"/>
      <w:divBdr>
        <w:top w:val="none" w:sz="0" w:space="0" w:color="auto"/>
        <w:left w:val="none" w:sz="0" w:space="0" w:color="auto"/>
        <w:bottom w:val="none" w:sz="0" w:space="0" w:color="auto"/>
        <w:right w:val="none" w:sz="0" w:space="0" w:color="auto"/>
      </w:divBdr>
    </w:div>
    <w:div w:id="314338080">
      <w:bodyDiv w:val="1"/>
      <w:marLeft w:val="0"/>
      <w:marRight w:val="0"/>
      <w:marTop w:val="0"/>
      <w:marBottom w:val="0"/>
      <w:divBdr>
        <w:top w:val="none" w:sz="0" w:space="0" w:color="auto"/>
        <w:left w:val="none" w:sz="0" w:space="0" w:color="auto"/>
        <w:bottom w:val="none" w:sz="0" w:space="0" w:color="auto"/>
        <w:right w:val="none" w:sz="0" w:space="0" w:color="auto"/>
      </w:divBdr>
      <w:divsChild>
        <w:div w:id="467479510">
          <w:marLeft w:val="0"/>
          <w:marRight w:val="0"/>
          <w:marTop w:val="0"/>
          <w:marBottom w:val="0"/>
          <w:divBdr>
            <w:top w:val="none" w:sz="0" w:space="0" w:color="auto"/>
            <w:left w:val="none" w:sz="0" w:space="0" w:color="auto"/>
            <w:bottom w:val="none" w:sz="0" w:space="0" w:color="auto"/>
            <w:right w:val="none" w:sz="0" w:space="0" w:color="auto"/>
          </w:divBdr>
        </w:div>
        <w:div w:id="665405331">
          <w:marLeft w:val="0"/>
          <w:marRight w:val="0"/>
          <w:marTop w:val="0"/>
          <w:marBottom w:val="0"/>
          <w:divBdr>
            <w:top w:val="none" w:sz="0" w:space="0" w:color="auto"/>
            <w:left w:val="none" w:sz="0" w:space="0" w:color="auto"/>
            <w:bottom w:val="none" w:sz="0" w:space="0" w:color="auto"/>
            <w:right w:val="none" w:sz="0" w:space="0" w:color="auto"/>
          </w:divBdr>
        </w:div>
        <w:div w:id="674262592">
          <w:marLeft w:val="0"/>
          <w:marRight w:val="0"/>
          <w:marTop w:val="0"/>
          <w:marBottom w:val="0"/>
          <w:divBdr>
            <w:top w:val="none" w:sz="0" w:space="0" w:color="auto"/>
            <w:left w:val="none" w:sz="0" w:space="0" w:color="auto"/>
            <w:bottom w:val="none" w:sz="0" w:space="0" w:color="auto"/>
            <w:right w:val="none" w:sz="0" w:space="0" w:color="auto"/>
          </w:divBdr>
        </w:div>
        <w:div w:id="1191383554">
          <w:marLeft w:val="0"/>
          <w:marRight w:val="0"/>
          <w:marTop w:val="0"/>
          <w:marBottom w:val="0"/>
          <w:divBdr>
            <w:top w:val="none" w:sz="0" w:space="0" w:color="auto"/>
            <w:left w:val="none" w:sz="0" w:space="0" w:color="auto"/>
            <w:bottom w:val="none" w:sz="0" w:space="0" w:color="auto"/>
            <w:right w:val="none" w:sz="0" w:space="0" w:color="auto"/>
          </w:divBdr>
        </w:div>
        <w:div w:id="1660183713">
          <w:marLeft w:val="0"/>
          <w:marRight w:val="0"/>
          <w:marTop w:val="0"/>
          <w:marBottom w:val="0"/>
          <w:divBdr>
            <w:top w:val="none" w:sz="0" w:space="0" w:color="auto"/>
            <w:left w:val="none" w:sz="0" w:space="0" w:color="auto"/>
            <w:bottom w:val="none" w:sz="0" w:space="0" w:color="auto"/>
            <w:right w:val="none" w:sz="0" w:space="0" w:color="auto"/>
          </w:divBdr>
        </w:div>
        <w:div w:id="1778597149">
          <w:marLeft w:val="0"/>
          <w:marRight w:val="0"/>
          <w:marTop w:val="0"/>
          <w:marBottom w:val="0"/>
          <w:divBdr>
            <w:top w:val="none" w:sz="0" w:space="0" w:color="auto"/>
            <w:left w:val="none" w:sz="0" w:space="0" w:color="auto"/>
            <w:bottom w:val="none" w:sz="0" w:space="0" w:color="auto"/>
            <w:right w:val="none" w:sz="0" w:space="0" w:color="auto"/>
          </w:divBdr>
        </w:div>
      </w:divsChild>
    </w:div>
    <w:div w:id="466508236">
      <w:bodyDiv w:val="1"/>
      <w:marLeft w:val="0"/>
      <w:marRight w:val="0"/>
      <w:marTop w:val="0"/>
      <w:marBottom w:val="0"/>
      <w:divBdr>
        <w:top w:val="none" w:sz="0" w:space="0" w:color="auto"/>
        <w:left w:val="none" w:sz="0" w:space="0" w:color="auto"/>
        <w:bottom w:val="none" w:sz="0" w:space="0" w:color="auto"/>
        <w:right w:val="none" w:sz="0" w:space="0" w:color="auto"/>
      </w:divBdr>
    </w:div>
    <w:div w:id="470175643">
      <w:bodyDiv w:val="1"/>
      <w:marLeft w:val="0"/>
      <w:marRight w:val="0"/>
      <w:marTop w:val="0"/>
      <w:marBottom w:val="0"/>
      <w:divBdr>
        <w:top w:val="none" w:sz="0" w:space="0" w:color="auto"/>
        <w:left w:val="none" w:sz="0" w:space="0" w:color="auto"/>
        <w:bottom w:val="none" w:sz="0" w:space="0" w:color="auto"/>
        <w:right w:val="none" w:sz="0" w:space="0" w:color="auto"/>
      </w:divBdr>
    </w:div>
    <w:div w:id="478309400">
      <w:bodyDiv w:val="1"/>
      <w:marLeft w:val="0"/>
      <w:marRight w:val="0"/>
      <w:marTop w:val="0"/>
      <w:marBottom w:val="0"/>
      <w:divBdr>
        <w:top w:val="none" w:sz="0" w:space="0" w:color="auto"/>
        <w:left w:val="none" w:sz="0" w:space="0" w:color="auto"/>
        <w:bottom w:val="none" w:sz="0" w:space="0" w:color="auto"/>
        <w:right w:val="none" w:sz="0" w:space="0" w:color="auto"/>
      </w:divBdr>
    </w:div>
    <w:div w:id="491410291">
      <w:bodyDiv w:val="1"/>
      <w:marLeft w:val="0"/>
      <w:marRight w:val="0"/>
      <w:marTop w:val="0"/>
      <w:marBottom w:val="0"/>
      <w:divBdr>
        <w:top w:val="none" w:sz="0" w:space="0" w:color="auto"/>
        <w:left w:val="none" w:sz="0" w:space="0" w:color="auto"/>
        <w:bottom w:val="none" w:sz="0" w:space="0" w:color="auto"/>
        <w:right w:val="none" w:sz="0" w:space="0" w:color="auto"/>
      </w:divBdr>
    </w:div>
    <w:div w:id="495000175">
      <w:bodyDiv w:val="1"/>
      <w:marLeft w:val="0"/>
      <w:marRight w:val="0"/>
      <w:marTop w:val="0"/>
      <w:marBottom w:val="0"/>
      <w:divBdr>
        <w:top w:val="none" w:sz="0" w:space="0" w:color="auto"/>
        <w:left w:val="none" w:sz="0" w:space="0" w:color="auto"/>
        <w:bottom w:val="none" w:sz="0" w:space="0" w:color="auto"/>
        <w:right w:val="none" w:sz="0" w:space="0" w:color="auto"/>
      </w:divBdr>
    </w:div>
    <w:div w:id="509878121">
      <w:bodyDiv w:val="1"/>
      <w:marLeft w:val="0"/>
      <w:marRight w:val="0"/>
      <w:marTop w:val="0"/>
      <w:marBottom w:val="0"/>
      <w:divBdr>
        <w:top w:val="none" w:sz="0" w:space="0" w:color="auto"/>
        <w:left w:val="none" w:sz="0" w:space="0" w:color="auto"/>
        <w:bottom w:val="none" w:sz="0" w:space="0" w:color="auto"/>
        <w:right w:val="none" w:sz="0" w:space="0" w:color="auto"/>
      </w:divBdr>
    </w:div>
    <w:div w:id="512303016">
      <w:bodyDiv w:val="1"/>
      <w:marLeft w:val="0"/>
      <w:marRight w:val="0"/>
      <w:marTop w:val="0"/>
      <w:marBottom w:val="0"/>
      <w:divBdr>
        <w:top w:val="none" w:sz="0" w:space="0" w:color="auto"/>
        <w:left w:val="none" w:sz="0" w:space="0" w:color="auto"/>
        <w:bottom w:val="none" w:sz="0" w:space="0" w:color="auto"/>
        <w:right w:val="none" w:sz="0" w:space="0" w:color="auto"/>
      </w:divBdr>
    </w:div>
    <w:div w:id="552740293">
      <w:bodyDiv w:val="1"/>
      <w:marLeft w:val="0"/>
      <w:marRight w:val="0"/>
      <w:marTop w:val="0"/>
      <w:marBottom w:val="0"/>
      <w:divBdr>
        <w:top w:val="none" w:sz="0" w:space="0" w:color="auto"/>
        <w:left w:val="none" w:sz="0" w:space="0" w:color="auto"/>
        <w:bottom w:val="none" w:sz="0" w:space="0" w:color="auto"/>
        <w:right w:val="none" w:sz="0" w:space="0" w:color="auto"/>
      </w:divBdr>
      <w:divsChild>
        <w:div w:id="1423801569">
          <w:marLeft w:val="0"/>
          <w:marRight w:val="0"/>
          <w:marTop w:val="0"/>
          <w:marBottom w:val="0"/>
          <w:divBdr>
            <w:top w:val="none" w:sz="0" w:space="0" w:color="auto"/>
            <w:left w:val="none" w:sz="0" w:space="0" w:color="auto"/>
            <w:bottom w:val="none" w:sz="0" w:space="0" w:color="auto"/>
            <w:right w:val="none" w:sz="0" w:space="0" w:color="auto"/>
          </w:divBdr>
        </w:div>
        <w:div w:id="1691562538">
          <w:marLeft w:val="0"/>
          <w:marRight w:val="0"/>
          <w:marTop w:val="0"/>
          <w:marBottom w:val="0"/>
          <w:divBdr>
            <w:top w:val="none" w:sz="0" w:space="0" w:color="auto"/>
            <w:left w:val="none" w:sz="0" w:space="0" w:color="auto"/>
            <w:bottom w:val="none" w:sz="0" w:space="0" w:color="auto"/>
            <w:right w:val="none" w:sz="0" w:space="0" w:color="auto"/>
          </w:divBdr>
        </w:div>
        <w:div w:id="151335697">
          <w:marLeft w:val="0"/>
          <w:marRight w:val="0"/>
          <w:marTop w:val="0"/>
          <w:marBottom w:val="0"/>
          <w:divBdr>
            <w:top w:val="none" w:sz="0" w:space="0" w:color="auto"/>
            <w:left w:val="none" w:sz="0" w:space="0" w:color="auto"/>
            <w:bottom w:val="none" w:sz="0" w:space="0" w:color="auto"/>
            <w:right w:val="none" w:sz="0" w:space="0" w:color="auto"/>
          </w:divBdr>
        </w:div>
        <w:div w:id="827866285">
          <w:marLeft w:val="0"/>
          <w:marRight w:val="0"/>
          <w:marTop w:val="0"/>
          <w:marBottom w:val="0"/>
          <w:divBdr>
            <w:top w:val="none" w:sz="0" w:space="0" w:color="auto"/>
            <w:left w:val="none" w:sz="0" w:space="0" w:color="auto"/>
            <w:bottom w:val="none" w:sz="0" w:space="0" w:color="auto"/>
            <w:right w:val="none" w:sz="0" w:space="0" w:color="auto"/>
          </w:divBdr>
        </w:div>
        <w:div w:id="1403914828">
          <w:marLeft w:val="0"/>
          <w:marRight w:val="0"/>
          <w:marTop w:val="0"/>
          <w:marBottom w:val="0"/>
          <w:divBdr>
            <w:top w:val="none" w:sz="0" w:space="0" w:color="auto"/>
            <w:left w:val="none" w:sz="0" w:space="0" w:color="auto"/>
            <w:bottom w:val="none" w:sz="0" w:space="0" w:color="auto"/>
            <w:right w:val="none" w:sz="0" w:space="0" w:color="auto"/>
          </w:divBdr>
        </w:div>
      </w:divsChild>
    </w:div>
    <w:div w:id="555313328">
      <w:bodyDiv w:val="1"/>
      <w:marLeft w:val="0"/>
      <w:marRight w:val="0"/>
      <w:marTop w:val="0"/>
      <w:marBottom w:val="0"/>
      <w:divBdr>
        <w:top w:val="none" w:sz="0" w:space="0" w:color="auto"/>
        <w:left w:val="none" w:sz="0" w:space="0" w:color="auto"/>
        <w:bottom w:val="none" w:sz="0" w:space="0" w:color="auto"/>
        <w:right w:val="none" w:sz="0" w:space="0" w:color="auto"/>
      </w:divBdr>
    </w:div>
    <w:div w:id="565265898">
      <w:bodyDiv w:val="1"/>
      <w:marLeft w:val="0"/>
      <w:marRight w:val="0"/>
      <w:marTop w:val="0"/>
      <w:marBottom w:val="0"/>
      <w:divBdr>
        <w:top w:val="none" w:sz="0" w:space="0" w:color="auto"/>
        <w:left w:val="none" w:sz="0" w:space="0" w:color="auto"/>
        <w:bottom w:val="none" w:sz="0" w:space="0" w:color="auto"/>
        <w:right w:val="none" w:sz="0" w:space="0" w:color="auto"/>
      </w:divBdr>
    </w:div>
    <w:div w:id="623850087">
      <w:bodyDiv w:val="1"/>
      <w:marLeft w:val="0"/>
      <w:marRight w:val="0"/>
      <w:marTop w:val="0"/>
      <w:marBottom w:val="0"/>
      <w:divBdr>
        <w:top w:val="none" w:sz="0" w:space="0" w:color="auto"/>
        <w:left w:val="none" w:sz="0" w:space="0" w:color="auto"/>
        <w:bottom w:val="none" w:sz="0" w:space="0" w:color="auto"/>
        <w:right w:val="none" w:sz="0" w:space="0" w:color="auto"/>
      </w:divBdr>
    </w:div>
    <w:div w:id="744374922">
      <w:bodyDiv w:val="1"/>
      <w:marLeft w:val="0"/>
      <w:marRight w:val="0"/>
      <w:marTop w:val="0"/>
      <w:marBottom w:val="0"/>
      <w:divBdr>
        <w:top w:val="none" w:sz="0" w:space="0" w:color="auto"/>
        <w:left w:val="none" w:sz="0" w:space="0" w:color="auto"/>
        <w:bottom w:val="none" w:sz="0" w:space="0" w:color="auto"/>
        <w:right w:val="none" w:sz="0" w:space="0" w:color="auto"/>
      </w:divBdr>
    </w:div>
    <w:div w:id="752821712">
      <w:bodyDiv w:val="1"/>
      <w:marLeft w:val="0"/>
      <w:marRight w:val="0"/>
      <w:marTop w:val="0"/>
      <w:marBottom w:val="0"/>
      <w:divBdr>
        <w:top w:val="none" w:sz="0" w:space="0" w:color="auto"/>
        <w:left w:val="none" w:sz="0" w:space="0" w:color="auto"/>
        <w:bottom w:val="none" w:sz="0" w:space="0" w:color="auto"/>
        <w:right w:val="none" w:sz="0" w:space="0" w:color="auto"/>
      </w:divBdr>
    </w:div>
    <w:div w:id="857088443">
      <w:bodyDiv w:val="1"/>
      <w:marLeft w:val="0"/>
      <w:marRight w:val="0"/>
      <w:marTop w:val="0"/>
      <w:marBottom w:val="0"/>
      <w:divBdr>
        <w:top w:val="none" w:sz="0" w:space="0" w:color="auto"/>
        <w:left w:val="none" w:sz="0" w:space="0" w:color="auto"/>
        <w:bottom w:val="none" w:sz="0" w:space="0" w:color="auto"/>
        <w:right w:val="none" w:sz="0" w:space="0" w:color="auto"/>
      </w:divBdr>
    </w:div>
    <w:div w:id="1019048082">
      <w:bodyDiv w:val="1"/>
      <w:marLeft w:val="0"/>
      <w:marRight w:val="0"/>
      <w:marTop w:val="0"/>
      <w:marBottom w:val="0"/>
      <w:divBdr>
        <w:top w:val="none" w:sz="0" w:space="0" w:color="auto"/>
        <w:left w:val="none" w:sz="0" w:space="0" w:color="auto"/>
        <w:bottom w:val="none" w:sz="0" w:space="0" w:color="auto"/>
        <w:right w:val="none" w:sz="0" w:space="0" w:color="auto"/>
      </w:divBdr>
      <w:divsChild>
        <w:div w:id="54202152">
          <w:marLeft w:val="0"/>
          <w:marRight w:val="0"/>
          <w:marTop w:val="0"/>
          <w:marBottom w:val="0"/>
          <w:divBdr>
            <w:top w:val="none" w:sz="0" w:space="0" w:color="auto"/>
            <w:left w:val="none" w:sz="0" w:space="0" w:color="auto"/>
            <w:bottom w:val="none" w:sz="0" w:space="0" w:color="auto"/>
            <w:right w:val="none" w:sz="0" w:space="0" w:color="auto"/>
          </w:divBdr>
        </w:div>
        <w:div w:id="193613664">
          <w:marLeft w:val="0"/>
          <w:marRight w:val="0"/>
          <w:marTop w:val="0"/>
          <w:marBottom w:val="0"/>
          <w:divBdr>
            <w:top w:val="none" w:sz="0" w:space="0" w:color="auto"/>
            <w:left w:val="none" w:sz="0" w:space="0" w:color="auto"/>
            <w:bottom w:val="none" w:sz="0" w:space="0" w:color="auto"/>
            <w:right w:val="none" w:sz="0" w:space="0" w:color="auto"/>
          </w:divBdr>
        </w:div>
        <w:div w:id="212547417">
          <w:marLeft w:val="0"/>
          <w:marRight w:val="0"/>
          <w:marTop w:val="0"/>
          <w:marBottom w:val="0"/>
          <w:divBdr>
            <w:top w:val="none" w:sz="0" w:space="0" w:color="auto"/>
            <w:left w:val="none" w:sz="0" w:space="0" w:color="auto"/>
            <w:bottom w:val="none" w:sz="0" w:space="0" w:color="auto"/>
            <w:right w:val="none" w:sz="0" w:space="0" w:color="auto"/>
          </w:divBdr>
        </w:div>
        <w:div w:id="216552178">
          <w:marLeft w:val="0"/>
          <w:marRight w:val="0"/>
          <w:marTop w:val="0"/>
          <w:marBottom w:val="0"/>
          <w:divBdr>
            <w:top w:val="none" w:sz="0" w:space="0" w:color="auto"/>
            <w:left w:val="none" w:sz="0" w:space="0" w:color="auto"/>
            <w:bottom w:val="none" w:sz="0" w:space="0" w:color="auto"/>
            <w:right w:val="none" w:sz="0" w:space="0" w:color="auto"/>
          </w:divBdr>
        </w:div>
        <w:div w:id="368990878">
          <w:marLeft w:val="0"/>
          <w:marRight w:val="0"/>
          <w:marTop w:val="0"/>
          <w:marBottom w:val="0"/>
          <w:divBdr>
            <w:top w:val="none" w:sz="0" w:space="0" w:color="auto"/>
            <w:left w:val="none" w:sz="0" w:space="0" w:color="auto"/>
            <w:bottom w:val="none" w:sz="0" w:space="0" w:color="auto"/>
            <w:right w:val="none" w:sz="0" w:space="0" w:color="auto"/>
          </w:divBdr>
        </w:div>
        <w:div w:id="486820486">
          <w:marLeft w:val="0"/>
          <w:marRight w:val="0"/>
          <w:marTop w:val="0"/>
          <w:marBottom w:val="0"/>
          <w:divBdr>
            <w:top w:val="none" w:sz="0" w:space="0" w:color="auto"/>
            <w:left w:val="none" w:sz="0" w:space="0" w:color="auto"/>
            <w:bottom w:val="none" w:sz="0" w:space="0" w:color="auto"/>
            <w:right w:val="none" w:sz="0" w:space="0" w:color="auto"/>
          </w:divBdr>
        </w:div>
        <w:div w:id="750081433">
          <w:marLeft w:val="0"/>
          <w:marRight w:val="0"/>
          <w:marTop w:val="0"/>
          <w:marBottom w:val="0"/>
          <w:divBdr>
            <w:top w:val="none" w:sz="0" w:space="0" w:color="auto"/>
            <w:left w:val="none" w:sz="0" w:space="0" w:color="auto"/>
            <w:bottom w:val="none" w:sz="0" w:space="0" w:color="auto"/>
            <w:right w:val="none" w:sz="0" w:space="0" w:color="auto"/>
          </w:divBdr>
        </w:div>
        <w:div w:id="901519911">
          <w:marLeft w:val="0"/>
          <w:marRight w:val="0"/>
          <w:marTop w:val="0"/>
          <w:marBottom w:val="0"/>
          <w:divBdr>
            <w:top w:val="none" w:sz="0" w:space="0" w:color="auto"/>
            <w:left w:val="none" w:sz="0" w:space="0" w:color="auto"/>
            <w:bottom w:val="none" w:sz="0" w:space="0" w:color="auto"/>
            <w:right w:val="none" w:sz="0" w:space="0" w:color="auto"/>
          </w:divBdr>
        </w:div>
        <w:div w:id="1348209862">
          <w:marLeft w:val="0"/>
          <w:marRight w:val="0"/>
          <w:marTop w:val="0"/>
          <w:marBottom w:val="0"/>
          <w:divBdr>
            <w:top w:val="none" w:sz="0" w:space="0" w:color="auto"/>
            <w:left w:val="none" w:sz="0" w:space="0" w:color="auto"/>
            <w:bottom w:val="none" w:sz="0" w:space="0" w:color="auto"/>
            <w:right w:val="none" w:sz="0" w:space="0" w:color="auto"/>
          </w:divBdr>
        </w:div>
        <w:div w:id="1609043474">
          <w:marLeft w:val="0"/>
          <w:marRight w:val="0"/>
          <w:marTop w:val="0"/>
          <w:marBottom w:val="0"/>
          <w:divBdr>
            <w:top w:val="none" w:sz="0" w:space="0" w:color="auto"/>
            <w:left w:val="none" w:sz="0" w:space="0" w:color="auto"/>
            <w:bottom w:val="none" w:sz="0" w:space="0" w:color="auto"/>
            <w:right w:val="none" w:sz="0" w:space="0" w:color="auto"/>
          </w:divBdr>
        </w:div>
        <w:div w:id="1678775962">
          <w:marLeft w:val="0"/>
          <w:marRight w:val="0"/>
          <w:marTop w:val="0"/>
          <w:marBottom w:val="0"/>
          <w:divBdr>
            <w:top w:val="none" w:sz="0" w:space="0" w:color="auto"/>
            <w:left w:val="none" w:sz="0" w:space="0" w:color="auto"/>
            <w:bottom w:val="none" w:sz="0" w:space="0" w:color="auto"/>
            <w:right w:val="none" w:sz="0" w:space="0" w:color="auto"/>
          </w:divBdr>
        </w:div>
        <w:div w:id="1996688353">
          <w:marLeft w:val="0"/>
          <w:marRight w:val="0"/>
          <w:marTop w:val="0"/>
          <w:marBottom w:val="0"/>
          <w:divBdr>
            <w:top w:val="none" w:sz="0" w:space="0" w:color="auto"/>
            <w:left w:val="none" w:sz="0" w:space="0" w:color="auto"/>
            <w:bottom w:val="none" w:sz="0" w:space="0" w:color="auto"/>
            <w:right w:val="none" w:sz="0" w:space="0" w:color="auto"/>
          </w:divBdr>
        </w:div>
        <w:div w:id="2049332984">
          <w:marLeft w:val="0"/>
          <w:marRight w:val="0"/>
          <w:marTop w:val="0"/>
          <w:marBottom w:val="0"/>
          <w:divBdr>
            <w:top w:val="none" w:sz="0" w:space="0" w:color="auto"/>
            <w:left w:val="none" w:sz="0" w:space="0" w:color="auto"/>
            <w:bottom w:val="none" w:sz="0" w:space="0" w:color="auto"/>
            <w:right w:val="none" w:sz="0" w:space="0" w:color="auto"/>
          </w:divBdr>
        </w:div>
      </w:divsChild>
    </w:div>
    <w:div w:id="1046834109">
      <w:bodyDiv w:val="1"/>
      <w:marLeft w:val="0"/>
      <w:marRight w:val="0"/>
      <w:marTop w:val="0"/>
      <w:marBottom w:val="0"/>
      <w:divBdr>
        <w:top w:val="none" w:sz="0" w:space="0" w:color="auto"/>
        <w:left w:val="none" w:sz="0" w:space="0" w:color="auto"/>
        <w:bottom w:val="none" w:sz="0" w:space="0" w:color="auto"/>
        <w:right w:val="none" w:sz="0" w:space="0" w:color="auto"/>
      </w:divBdr>
    </w:div>
    <w:div w:id="1082948983">
      <w:bodyDiv w:val="1"/>
      <w:marLeft w:val="0"/>
      <w:marRight w:val="0"/>
      <w:marTop w:val="0"/>
      <w:marBottom w:val="0"/>
      <w:divBdr>
        <w:top w:val="none" w:sz="0" w:space="0" w:color="auto"/>
        <w:left w:val="none" w:sz="0" w:space="0" w:color="auto"/>
        <w:bottom w:val="none" w:sz="0" w:space="0" w:color="auto"/>
        <w:right w:val="none" w:sz="0" w:space="0" w:color="auto"/>
      </w:divBdr>
      <w:divsChild>
        <w:div w:id="582028831">
          <w:marLeft w:val="0"/>
          <w:marRight w:val="0"/>
          <w:marTop w:val="0"/>
          <w:marBottom w:val="0"/>
          <w:divBdr>
            <w:top w:val="none" w:sz="0" w:space="0" w:color="auto"/>
            <w:left w:val="none" w:sz="0" w:space="0" w:color="auto"/>
            <w:bottom w:val="none" w:sz="0" w:space="0" w:color="auto"/>
            <w:right w:val="none" w:sz="0" w:space="0" w:color="auto"/>
          </w:divBdr>
        </w:div>
        <w:div w:id="1294406391">
          <w:marLeft w:val="0"/>
          <w:marRight w:val="0"/>
          <w:marTop w:val="0"/>
          <w:marBottom w:val="0"/>
          <w:divBdr>
            <w:top w:val="none" w:sz="0" w:space="0" w:color="auto"/>
            <w:left w:val="none" w:sz="0" w:space="0" w:color="auto"/>
            <w:bottom w:val="none" w:sz="0" w:space="0" w:color="auto"/>
            <w:right w:val="none" w:sz="0" w:space="0" w:color="auto"/>
          </w:divBdr>
        </w:div>
        <w:div w:id="1428841561">
          <w:marLeft w:val="0"/>
          <w:marRight w:val="0"/>
          <w:marTop w:val="0"/>
          <w:marBottom w:val="0"/>
          <w:divBdr>
            <w:top w:val="none" w:sz="0" w:space="0" w:color="auto"/>
            <w:left w:val="none" w:sz="0" w:space="0" w:color="auto"/>
            <w:bottom w:val="none" w:sz="0" w:space="0" w:color="auto"/>
            <w:right w:val="none" w:sz="0" w:space="0" w:color="auto"/>
          </w:divBdr>
        </w:div>
      </w:divsChild>
    </w:div>
    <w:div w:id="1090127095">
      <w:bodyDiv w:val="1"/>
      <w:marLeft w:val="0"/>
      <w:marRight w:val="0"/>
      <w:marTop w:val="0"/>
      <w:marBottom w:val="0"/>
      <w:divBdr>
        <w:top w:val="none" w:sz="0" w:space="0" w:color="auto"/>
        <w:left w:val="none" w:sz="0" w:space="0" w:color="auto"/>
        <w:bottom w:val="none" w:sz="0" w:space="0" w:color="auto"/>
        <w:right w:val="none" w:sz="0" w:space="0" w:color="auto"/>
      </w:divBdr>
      <w:divsChild>
        <w:div w:id="19161309">
          <w:marLeft w:val="0"/>
          <w:marRight w:val="0"/>
          <w:marTop w:val="0"/>
          <w:marBottom w:val="0"/>
          <w:divBdr>
            <w:top w:val="none" w:sz="0" w:space="0" w:color="auto"/>
            <w:left w:val="none" w:sz="0" w:space="0" w:color="auto"/>
            <w:bottom w:val="none" w:sz="0" w:space="0" w:color="auto"/>
            <w:right w:val="none" w:sz="0" w:space="0" w:color="auto"/>
          </w:divBdr>
        </w:div>
        <w:div w:id="516382588">
          <w:marLeft w:val="0"/>
          <w:marRight w:val="0"/>
          <w:marTop w:val="0"/>
          <w:marBottom w:val="0"/>
          <w:divBdr>
            <w:top w:val="none" w:sz="0" w:space="0" w:color="auto"/>
            <w:left w:val="none" w:sz="0" w:space="0" w:color="auto"/>
            <w:bottom w:val="none" w:sz="0" w:space="0" w:color="auto"/>
            <w:right w:val="none" w:sz="0" w:space="0" w:color="auto"/>
          </w:divBdr>
        </w:div>
        <w:div w:id="1130708830">
          <w:marLeft w:val="0"/>
          <w:marRight w:val="0"/>
          <w:marTop w:val="0"/>
          <w:marBottom w:val="0"/>
          <w:divBdr>
            <w:top w:val="none" w:sz="0" w:space="0" w:color="auto"/>
            <w:left w:val="none" w:sz="0" w:space="0" w:color="auto"/>
            <w:bottom w:val="none" w:sz="0" w:space="0" w:color="auto"/>
            <w:right w:val="none" w:sz="0" w:space="0" w:color="auto"/>
          </w:divBdr>
        </w:div>
        <w:div w:id="76754590">
          <w:marLeft w:val="0"/>
          <w:marRight w:val="0"/>
          <w:marTop w:val="0"/>
          <w:marBottom w:val="0"/>
          <w:divBdr>
            <w:top w:val="none" w:sz="0" w:space="0" w:color="auto"/>
            <w:left w:val="none" w:sz="0" w:space="0" w:color="auto"/>
            <w:bottom w:val="none" w:sz="0" w:space="0" w:color="auto"/>
            <w:right w:val="none" w:sz="0" w:space="0" w:color="auto"/>
          </w:divBdr>
        </w:div>
        <w:div w:id="2125883675">
          <w:marLeft w:val="0"/>
          <w:marRight w:val="0"/>
          <w:marTop w:val="0"/>
          <w:marBottom w:val="0"/>
          <w:divBdr>
            <w:top w:val="none" w:sz="0" w:space="0" w:color="auto"/>
            <w:left w:val="none" w:sz="0" w:space="0" w:color="auto"/>
            <w:bottom w:val="none" w:sz="0" w:space="0" w:color="auto"/>
            <w:right w:val="none" w:sz="0" w:space="0" w:color="auto"/>
          </w:divBdr>
        </w:div>
        <w:div w:id="1436516268">
          <w:marLeft w:val="0"/>
          <w:marRight w:val="0"/>
          <w:marTop w:val="0"/>
          <w:marBottom w:val="0"/>
          <w:divBdr>
            <w:top w:val="none" w:sz="0" w:space="0" w:color="auto"/>
            <w:left w:val="none" w:sz="0" w:space="0" w:color="auto"/>
            <w:bottom w:val="none" w:sz="0" w:space="0" w:color="auto"/>
            <w:right w:val="none" w:sz="0" w:space="0" w:color="auto"/>
          </w:divBdr>
        </w:div>
        <w:div w:id="203031287">
          <w:marLeft w:val="0"/>
          <w:marRight w:val="0"/>
          <w:marTop w:val="0"/>
          <w:marBottom w:val="0"/>
          <w:divBdr>
            <w:top w:val="none" w:sz="0" w:space="0" w:color="auto"/>
            <w:left w:val="none" w:sz="0" w:space="0" w:color="auto"/>
            <w:bottom w:val="none" w:sz="0" w:space="0" w:color="auto"/>
            <w:right w:val="none" w:sz="0" w:space="0" w:color="auto"/>
          </w:divBdr>
        </w:div>
      </w:divsChild>
    </w:div>
    <w:div w:id="1139608850">
      <w:bodyDiv w:val="1"/>
      <w:marLeft w:val="0"/>
      <w:marRight w:val="0"/>
      <w:marTop w:val="0"/>
      <w:marBottom w:val="0"/>
      <w:divBdr>
        <w:top w:val="none" w:sz="0" w:space="0" w:color="auto"/>
        <w:left w:val="none" w:sz="0" w:space="0" w:color="auto"/>
        <w:bottom w:val="none" w:sz="0" w:space="0" w:color="auto"/>
        <w:right w:val="none" w:sz="0" w:space="0" w:color="auto"/>
      </w:divBdr>
    </w:div>
    <w:div w:id="1208448615">
      <w:bodyDiv w:val="1"/>
      <w:marLeft w:val="0"/>
      <w:marRight w:val="0"/>
      <w:marTop w:val="0"/>
      <w:marBottom w:val="0"/>
      <w:divBdr>
        <w:top w:val="none" w:sz="0" w:space="0" w:color="auto"/>
        <w:left w:val="none" w:sz="0" w:space="0" w:color="auto"/>
        <w:bottom w:val="none" w:sz="0" w:space="0" w:color="auto"/>
        <w:right w:val="none" w:sz="0" w:space="0" w:color="auto"/>
      </w:divBdr>
    </w:div>
    <w:div w:id="1232736177">
      <w:bodyDiv w:val="1"/>
      <w:marLeft w:val="0"/>
      <w:marRight w:val="0"/>
      <w:marTop w:val="0"/>
      <w:marBottom w:val="0"/>
      <w:divBdr>
        <w:top w:val="none" w:sz="0" w:space="0" w:color="auto"/>
        <w:left w:val="none" w:sz="0" w:space="0" w:color="auto"/>
        <w:bottom w:val="none" w:sz="0" w:space="0" w:color="auto"/>
        <w:right w:val="none" w:sz="0" w:space="0" w:color="auto"/>
      </w:divBdr>
      <w:divsChild>
        <w:div w:id="254945561">
          <w:marLeft w:val="0"/>
          <w:marRight w:val="0"/>
          <w:marTop w:val="0"/>
          <w:marBottom w:val="0"/>
          <w:divBdr>
            <w:top w:val="none" w:sz="0" w:space="0" w:color="auto"/>
            <w:left w:val="none" w:sz="0" w:space="0" w:color="auto"/>
            <w:bottom w:val="none" w:sz="0" w:space="0" w:color="auto"/>
            <w:right w:val="none" w:sz="0" w:space="0" w:color="auto"/>
          </w:divBdr>
        </w:div>
        <w:div w:id="1090928768">
          <w:marLeft w:val="0"/>
          <w:marRight w:val="0"/>
          <w:marTop w:val="0"/>
          <w:marBottom w:val="0"/>
          <w:divBdr>
            <w:top w:val="none" w:sz="0" w:space="0" w:color="auto"/>
            <w:left w:val="none" w:sz="0" w:space="0" w:color="auto"/>
            <w:bottom w:val="none" w:sz="0" w:space="0" w:color="auto"/>
            <w:right w:val="none" w:sz="0" w:space="0" w:color="auto"/>
          </w:divBdr>
        </w:div>
        <w:div w:id="282075230">
          <w:marLeft w:val="0"/>
          <w:marRight w:val="0"/>
          <w:marTop w:val="0"/>
          <w:marBottom w:val="0"/>
          <w:divBdr>
            <w:top w:val="none" w:sz="0" w:space="0" w:color="auto"/>
            <w:left w:val="none" w:sz="0" w:space="0" w:color="auto"/>
            <w:bottom w:val="none" w:sz="0" w:space="0" w:color="auto"/>
            <w:right w:val="none" w:sz="0" w:space="0" w:color="auto"/>
          </w:divBdr>
        </w:div>
      </w:divsChild>
    </w:div>
    <w:div w:id="1288924744">
      <w:bodyDiv w:val="1"/>
      <w:marLeft w:val="0"/>
      <w:marRight w:val="0"/>
      <w:marTop w:val="0"/>
      <w:marBottom w:val="0"/>
      <w:divBdr>
        <w:top w:val="none" w:sz="0" w:space="0" w:color="auto"/>
        <w:left w:val="none" w:sz="0" w:space="0" w:color="auto"/>
        <w:bottom w:val="none" w:sz="0" w:space="0" w:color="auto"/>
        <w:right w:val="none" w:sz="0" w:space="0" w:color="auto"/>
      </w:divBdr>
    </w:div>
    <w:div w:id="1358265427">
      <w:bodyDiv w:val="1"/>
      <w:marLeft w:val="0"/>
      <w:marRight w:val="0"/>
      <w:marTop w:val="0"/>
      <w:marBottom w:val="0"/>
      <w:divBdr>
        <w:top w:val="none" w:sz="0" w:space="0" w:color="auto"/>
        <w:left w:val="none" w:sz="0" w:space="0" w:color="auto"/>
        <w:bottom w:val="none" w:sz="0" w:space="0" w:color="auto"/>
        <w:right w:val="none" w:sz="0" w:space="0" w:color="auto"/>
      </w:divBdr>
    </w:div>
    <w:div w:id="1411803747">
      <w:bodyDiv w:val="1"/>
      <w:marLeft w:val="0"/>
      <w:marRight w:val="0"/>
      <w:marTop w:val="0"/>
      <w:marBottom w:val="0"/>
      <w:divBdr>
        <w:top w:val="none" w:sz="0" w:space="0" w:color="auto"/>
        <w:left w:val="none" w:sz="0" w:space="0" w:color="auto"/>
        <w:bottom w:val="none" w:sz="0" w:space="0" w:color="auto"/>
        <w:right w:val="none" w:sz="0" w:space="0" w:color="auto"/>
      </w:divBdr>
      <w:divsChild>
        <w:div w:id="1030423811">
          <w:marLeft w:val="0"/>
          <w:marRight w:val="0"/>
          <w:marTop w:val="0"/>
          <w:marBottom w:val="0"/>
          <w:divBdr>
            <w:top w:val="none" w:sz="0" w:space="0" w:color="auto"/>
            <w:left w:val="none" w:sz="0" w:space="0" w:color="auto"/>
            <w:bottom w:val="none" w:sz="0" w:space="0" w:color="auto"/>
            <w:right w:val="none" w:sz="0" w:space="0" w:color="auto"/>
          </w:divBdr>
        </w:div>
        <w:div w:id="1278221032">
          <w:marLeft w:val="0"/>
          <w:marRight w:val="0"/>
          <w:marTop w:val="0"/>
          <w:marBottom w:val="0"/>
          <w:divBdr>
            <w:top w:val="none" w:sz="0" w:space="0" w:color="auto"/>
            <w:left w:val="none" w:sz="0" w:space="0" w:color="auto"/>
            <w:bottom w:val="none" w:sz="0" w:space="0" w:color="auto"/>
            <w:right w:val="none" w:sz="0" w:space="0" w:color="auto"/>
          </w:divBdr>
        </w:div>
      </w:divsChild>
    </w:div>
    <w:div w:id="1471554300">
      <w:bodyDiv w:val="1"/>
      <w:marLeft w:val="0"/>
      <w:marRight w:val="0"/>
      <w:marTop w:val="0"/>
      <w:marBottom w:val="0"/>
      <w:divBdr>
        <w:top w:val="none" w:sz="0" w:space="0" w:color="auto"/>
        <w:left w:val="none" w:sz="0" w:space="0" w:color="auto"/>
        <w:bottom w:val="none" w:sz="0" w:space="0" w:color="auto"/>
        <w:right w:val="none" w:sz="0" w:space="0" w:color="auto"/>
      </w:divBdr>
    </w:div>
    <w:div w:id="1499688099">
      <w:bodyDiv w:val="1"/>
      <w:marLeft w:val="0"/>
      <w:marRight w:val="0"/>
      <w:marTop w:val="0"/>
      <w:marBottom w:val="0"/>
      <w:divBdr>
        <w:top w:val="none" w:sz="0" w:space="0" w:color="auto"/>
        <w:left w:val="none" w:sz="0" w:space="0" w:color="auto"/>
        <w:bottom w:val="none" w:sz="0" w:space="0" w:color="auto"/>
        <w:right w:val="none" w:sz="0" w:space="0" w:color="auto"/>
      </w:divBdr>
    </w:div>
    <w:div w:id="1504272511">
      <w:bodyDiv w:val="1"/>
      <w:marLeft w:val="0"/>
      <w:marRight w:val="0"/>
      <w:marTop w:val="0"/>
      <w:marBottom w:val="0"/>
      <w:divBdr>
        <w:top w:val="none" w:sz="0" w:space="0" w:color="auto"/>
        <w:left w:val="none" w:sz="0" w:space="0" w:color="auto"/>
        <w:bottom w:val="none" w:sz="0" w:space="0" w:color="auto"/>
        <w:right w:val="none" w:sz="0" w:space="0" w:color="auto"/>
      </w:divBdr>
      <w:divsChild>
        <w:div w:id="854882428">
          <w:marLeft w:val="0"/>
          <w:marRight w:val="0"/>
          <w:marTop w:val="0"/>
          <w:marBottom w:val="0"/>
          <w:divBdr>
            <w:top w:val="none" w:sz="0" w:space="0" w:color="auto"/>
            <w:left w:val="none" w:sz="0" w:space="0" w:color="auto"/>
            <w:bottom w:val="none" w:sz="0" w:space="0" w:color="auto"/>
            <w:right w:val="none" w:sz="0" w:space="0" w:color="auto"/>
          </w:divBdr>
        </w:div>
        <w:div w:id="990404292">
          <w:marLeft w:val="0"/>
          <w:marRight w:val="0"/>
          <w:marTop w:val="0"/>
          <w:marBottom w:val="0"/>
          <w:divBdr>
            <w:top w:val="none" w:sz="0" w:space="0" w:color="auto"/>
            <w:left w:val="none" w:sz="0" w:space="0" w:color="auto"/>
            <w:bottom w:val="none" w:sz="0" w:space="0" w:color="auto"/>
            <w:right w:val="none" w:sz="0" w:space="0" w:color="auto"/>
          </w:divBdr>
        </w:div>
        <w:div w:id="1876768606">
          <w:marLeft w:val="0"/>
          <w:marRight w:val="0"/>
          <w:marTop w:val="0"/>
          <w:marBottom w:val="0"/>
          <w:divBdr>
            <w:top w:val="none" w:sz="0" w:space="0" w:color="auto"/>
            <w:left w:val="none" w:sz="0" w:space="0" w:color="auto"/>
            <w:bottom w:val="none" w:sz="0" w:space="0" w:color="auto"/>
            <w:right w:val="none" w:sz="0" w:space="0" w:color="auto"/>
          </w:divBdr>
        </w:div>
      </w:divsChild>
    </w:div>
    <w:div w:id="1532067522">
      <w:bodyDiv w:val="1"/>
      <w:marLeft w:val="0"/>
      <w:marRight w:val="0"/>
      <w:marTop w:val="0"/>
      <w:marBottom w:val="0"/>
      <w:divBdr>
        <w:top w:val="none" w:sz="0" w:space="0" w:color="auto"/>
        <w:left w:val="none" w:sz="0" w:space="0" w:color="auto"/>
        <w:bottom w:val="none" w:sz="0" w:space="0" w:color="auto"/>
        <w:right w:val="none" w:sz="0" w:space="0" w:color="auto"/>
      </w:divBdr>
    </w:div>
    <w:div w:id="1635602370">
      <w:bodyDiv w:val="1"/>
      <w:marLeft w:val="0"/>
      <w:marRight w:val="0"/>
      <w:marTop w:val="0"/>
      <w:marBottom w:val="0"/>
      <w:divBdr>
        <w:top w:val="none" w:sz="0" w:space="0" w:color="auto"/>
        <w:left w:val="none" w:sz="0" w:space="0" w:color="auto"/>
        <w:bottom w:val="none" w:sz="0" w:space="0" w:color="auto"/>
        <w:right w:val="none" w:sz="0" w:space="0" w:color="auto"/>
      </w:divBdr>
    </w:div>
    <w:div w:id="1640959414">
      <w:bodyDiv w:val="1"/>
      <w:marLeft w:val="0"/>
      <w:marRight w:val="0"/>
      <w:marTop w:val="0"/>
      <w:marBottom w:val="0"/>
      <w:divBdr>
        <w:top w:val="none" w:sz="0" w:space="0" w:color="auto"/>
        <w:left w:val="none" w:sz="0" w:space="0" w:color="auto"/>
        <w:bottom w:val="none" w:sz="0" w:space="0" w:color="auto"/>
        <w:right w:val="none" w:sz="0" w:space="0" w:color="auto"/>
      </w:divBdr>
    </w:div>
    <w:div w:id="1694846315">
      <w:bodyDiv w:val="1"/>
      <w:marLeft w:val="0"/>
      <w:marRight w:val="0"/>
      <w:marTop w:val="0"/>
      <w:marBottom w:val="0"/>
      <w:divBdr>
        <w:top w:val="none" w:sz="0" w:space="0" w:color="auto"/>
        <w:left w:val="none" w:sz="0" w:space="0" w:color="auto"/>
        <w:bottom w:val="none" w:sz="0" w:space="0" w:color="auto"/>
        <w:right w:val="none" w:sz="0" w:space="0" w:color="auto"/>
      </w:divBdr>
    </w:div>
    <w:div w:id="1747918946">
      <w:bodyDiv w:val="1"/>
      <w:marLeft w:val="0"/>
      <w:marRight w:val="0"/>
      <w:marTop w:val="0"/>
      <w:marBottom w:val="0"/>
      <w:divBdr>
        <w:top w:val="none" w:sz="0" w:space="0" w:color="auto"/>
        <w:left w:val="none" w:sz="0" w:space="0" w:color="auto"/>
        <w:bottom w:val="none" w:sz="0" w:space="0" w:color="auto"/>
        <w:right w:val="none" w:sz="0" w:space="0" w:color="auto"/>
      </w:divBdr>
    </w:div>
    <w:div w:id="1756435235">
      <w:bodyDiv w:val="1"/>
      <w:marLeft w:val="0"/>
      <w:marRight w:val="0"/>
      <w:marTop w:val="0"/>
      <w:marBottom w:val="0"/>
      <w:divBdr>
        <w:top w:val="none" w:sz="0" w:space="0" w:color="auto"/>
        <w:left w:val="none" w:sz="0" w:space="0" w:color="auto"/>
        <w:bottom w:val="none" w:sz="0" w:space="0" w:color="auto"/>
        <w:right w:val="none" w:sz="0" w:space="0" w:color="auto"/>
      </w:divBdr>
    </w:div>
    <w:div w:id="1772163497">
      <w:bodyDiv w:val="1"/>
      <w:marLeft w:val="0"/>
      <w:marRight w:val="0"/>
      <w:marTop w:val="0"/>
      <w:marBottom w:val="0"/>
      <w:divBdr>
        <w:top w:val="none" w:sz="0" w:space="0" w:color="auto"/>
        <w:left w:val="none" w:sz="0" w:space="0" w:color="auto"/>
        <w:bottom w:val="none" w:sz="0" w:space="0" w:color="auto"/>
        <w:right w:val="none" w:sz="0" w:space="0" w:color="auto"/>
      </w:divBdr>
    </w:div>
    <w:div w:id="1821968233">
      <w:bodyDiv w:val="1"/>
      <w:marLeft w:val="0"/>
      <w:marRight w:val="0"/>
      <w:marTop w:val="0"/>
      <w:marBottom w:val="0"/>
      <w:divBdr>
        <w:top w:val="none" w:sz="0" w:space="0" w:color="auto"/>
        <w:left w:val="none" w:sz="0" w:space="0" w:color="auto"/>
        <w:bottom w:val="none" w:sz="0" w:space="0" w:color="auto"/>
        <w:right w:val="none" w:sz="0" w:space="0" w:color="auto"/>
      </w:divBdr>
    </w:div>
    <w:div w:id="1831751380">
      <w:bodyDiv w:val="1"/>
      <w:marLeft w:val="0"/>
      <w:marRight w:val="0"/>
      <w:marTop w:val="0"/>
      <w:marBottom w:val="0"/>
      <w:divBdr>
        <w:top w:val="none" w:sz="0" w:space="0" w:color="auto"/>
        <w:left w:val="none" w:sz="0" w:space="0" w:color="auto"/>
        <w:bottom w:val="none" w:sz="0" w:space="0" w:color="auto"/>
        <w:right w:val="none" w:sz="0" w:space="0" w:color="auto"/>
      </w:divBdr>
    </w:div>
    <w:div w:id="1847132626">
      <w:bodyDiv w:val="1"/>
      <w:marLeft w:val="0"/>
      <w:marRight w:val="0"/>
      <w:marTop w:val="0"/>
      <w:marBottom w:val="0"/>
      <w:divBdr>
        <w:top w:val="none" w:sz="0" w:space="0" w:color="auto"/>
        <w:left w:val="none" w:sz="0" w:space="0" w:color="auto"/>
        <w:bottom w:val="none" w:sz="0" w:space="0" w:color="auto"/>
        <w:right w:val="none" w:sz="0" w:space="0" w:color="auto"/>
      </w:divBdr>
      <w:divsChild>
        <w:div w:id="68969440">
          <w:marLeft w:val="0"/>
          <w:marRight w:val="0"/>
          <w:marTop w:val="0"/>
          <w:marBottom w:val="0"/>
          <w:divBdr>
            <w:top w:val="none" w:sz="0" w:space="0" w:color="auto"/>
            <w:left w:val="none" w:sz="0" w:space="0" w:color="auto"/>
            <w:bottom w:val="none" w:sz="0" w:space="0" w:color="auto"/>
            <w:right w:val="none" w:sz="0" w:space="0" w:color="auto"/>
          </w:divBdr>
        </w:div>
        <w:div w:id="936251326">
          <w:marLeft w:val="0"/>
          <w:marRight w:val="0"/>
          <w:marTop w:val="0"/>
          <w:marBottom w:val="0"/>
          <w:divBdr>
            <w:top w:val="none" w:sz="0" w:space="0" w:color="auto"/>
            <w:left w:val="none" w:sz="0" w:space="0" w:color="auto"/>
            <w:bottom w:val="none" w:sz="0" w:space="0" w:color="auto"/>
            <w:right w:val="none" w:sz="0" w:space="0" w:color="auto"/>
          </w:divBdr>
        </w:div>
        <w:div w:id="970289690">
          <w:marLeft w:val="0"/>
          <w:marRight w:val="0"/>
          <w:marTop w:val="0"/>
          <w:marBottom w:val="0"/>
          <w:divBdr>
            <w:top w:val="none" w:sz="0" w:space="0" w:color="auto"/>
            <w:left w:val="none" w:sz="0" w:space="0" w:color="auto"/>
            <w:bottom w:val="none" w:sz="0" w:space="0" w:color="auto"/>
            <w:right w:val="none" w:sz="0" w:space="0" w:color="auto"/>
          </w:divBdr>
        </w:div>
        <w:div w:id="1714572498">
          <w:marLeft w:val="0"/>
          <w:marRight w:val="0"/>
          <w:marTop w:val="0"/>
          <w:marBottom w:val="0"/>
          <w:divBdr>
            <w:top w:val="none" w:sz="0" w:space="0" w:color="auto"/>
            <w:left w:val="none" w:sz="0" w:space="0" w:color="auto"/>
            <w:bottom w:val="none" w:sz="0" w:space="0" w:color="auto"/>
            <w:right w:val="none" w:sz="0" w:space="0" w:color="auto"/>
          </w:divBdr>
        </w:div>
      </w:divsChild>
    </w:div>
    <w:div w:id="1894996223">
      <w:bodyDiv w:val="1"/>
      <w:marLeft w:val="0"/>
      <w:marRight w:val="0"/>
      <w:marTop w:val="0"/>
      <w:marBottom w:val="0"/>
      <w:divBdr>
        <w:top w:val="none" w:sz="0" w:space="0" w:color="auto"/>
        <w:left w:val="none" w:sz="0" w:space="0" w:color="auto"/>
        <w:bottom w:val="none" w:sz="0" w:space="0" w:color="auto"/>
        <w:right w:val="none" w:sz="0" w:space="0" w:color="auto"/>
      </w:divBdr>
      <w:divsChild>
        <w:div w:id="771241290">
          <w:marLeft w:val="0"/>
          <w:marRight w:val="0"/>
          <w:marTop w:val="0"/>
          <w:marBottom w:val="0"/>
          <w:divBdr>
            <w:top w:val="none" w:sz="0" w:space="0" w:color="auto"/>
            <w:left w:val="none" w:sz="0" w:space="0" w:color="auto"/>
            <w:bottom w:val="none" w:sz="0" w:space="0" w:color="auto"/>
            <w:right w:val="none" w:sz="0" w:space="0" w:color="auto"/>
          </w:divBdr>
        </w:div>
        <w:div w:id="885528166">
          <w:marLeft w:val="0"/>
          <w:marRight w:val="0"/>
          <w:marTop w:val="0"/>
          <w:marBottom w:val="0"/>
          <w:divBdr>
            <w:top w:val="none" w:sz="0" w:space="0" w:color="auto"/>
            <w:left w:val="none" w:sz="0" w:space="0" w:color="auto"/>
            <w:bottom w:val="none" w:sz="0" w:space="0" w:color="auto"/>
            <w:right w:val="none" w:sz="0" w:space="0" w:color="auto"/>
          </w:divBdr>
        </w:div>
        <w:div w:id="1403406162">
          <w:marLeft w:val="0"/>
          <w:marRight w:val="0"/>
          <w:marTop w:val="0"/>
          <w:marBottom w:val="0"/>
          <w:divBdr>
            <w:top w:val="none" w:sz="0" w:space="0" w:color="auto"/>
            <w:left w:val="none" w:sz="0" w:space="0" w:color="auto"/>
            <w:bottom w:val="none" w:sz="0" w:space="0" w:color="auto"/>
            <w:right w:val="none" w:sz="0" w:space="0" w:color="auto"/>
          </w:divBdr>
        </w:div>
        <w:div w:id="1653558746">
          <w:marLeft w:val="0"/>
          <w:marRight w:val="0"/>
          <w:marTop w:val="0"/>
          <w:marBottom w:val="0"/>
          <w:divBdr>
            <w:top w:val="none" w:sz="0" w:space="0" w:color="auto"/>
            <w:left w:val="none" w:sz="0" w:space="0" w:color="auto"/>
            <w:bottom w:val="none" w:sz="0" w:space="0" w:color="auto"/>
            <w:right w:val="none" w:sz="0" w:space="0" w:color="auto"/>
          </w:divBdr>
        </w:div>
      </w:divsChild>
    </w:div>
    <w:div w:id="1998994650">
      <w:bodyDiv w:val="1"/>
      <w:marLeft w:val="0"/>
      <w:marRight w:val="0"/>
      <w:marTop w:val="0"/>
      <w:marBottom w:val="0"/>
      <w:divBdr>
        <w:top w:val="none" w:sz="0" w:space="0" w:color="auto"/>
        <w:left w:val="none" w:sz="0" w:space="0" w:color="auto"/>
        <w:bottom w:val="none" w:sz="0" w:space="0" w:color="auto"/>
        <w:right w:val="none" w:sz="0" w:space="0" w:color="auto"/>
      </w:divBdr>
      <w:divsChild>
        <w:div w:id="2041006605">
          <w:marLeft w:val="0"/>
          <w:marRight w:val="0"/>
          <w:marTop w:val="0"/>
          <w:marBottom w:val="0"/>
          <w:divBdr>
            <w:top w:val="none" w:sz="0" w:space="0" w:color="auto"/>
            <w:left w:val="none" w:sz="0" w:space="0" w:color="auto"/>
            <w:bottom w:val="none" w:sz="0" w:space="0" w:color="auto"/>
            <w:right w:val="none" w:sz="0" w:space="0" w:color="auto"/>
          </w:divBdr>
        </w:div>
        <w:div w:id="46030730">
          <w:marLeft w:val="0"/>
          <w:marRight w:val="0"/>
          <w:marTop w:val="0"/>
          <w:marBottom w:val="0"/>
          <w:divBdr>
            <w:top w:val="none" w:sz="0" w:space="0" w:color="auto"/>
            <w:left w:val="none" w:sz="0" w:space="0" w:color="auto"/>
            <w:bottom w:val="none" w:sz="0" w:space="0" w:color="auto"/>
            <w:right w:val="none" w:sz="0" w:space="0" w:color="auto"/>
          </w:divBdr>
        </w:div>
        <w:div w:id="1209801583">
          <w:marLeft w:val="0"/>
          <w:marRight w:val="0"/>
          <w:marTop w:val="0"/>
          <w:marBottom w:val="0"/>
          <w:divBdr>
            <w:top w:val="none" w:sz="0" w:space="0" w:color="auto"/>
            <w:left w:val="none" w:sz="0" w:space="0" w:color="auto"/>
            <w:bottom w:val="none" w:sz="0" w:space="0" w:color="auto"/>
            <w:right w:val="none" w:sz="0" w:space="0" w:color="auto"/>
          </w:divBdr>
        </w:div>
      </w:divsChild>
    </w:div>
    <w:div w:id="210653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0289/113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75FE-4190-4A6B-A4F4-E5E943E6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New Zealand Family Violence Clearinghouse</Company>
  <LinksUpToDate>false</LinksUpToDate>
  <CharactersWithSpaces>64106</CharactersWithSpaces>
  <SharedDoc>false</SharedDoc>
  <HyperlinkBase/>
  <HLinks>
    <vt:vector size="720" baseType="variant">
      <vt:variant>
        <vt:i4>6619194</vt:i4>
      </vt:variant>
      <vt:variant>
        <vt:i4>553</vt:i4>
      </vt:variant>
      <vt:variant>
        <vt:i4>0</vt:i4>
      </vt:variant>
      <vt:variant>
        <vt:i4>5</vt:i4>
      </vt:variant>
      <vt:variant>
        <vt:lpwstr>http://dx.doi.org/10.1037/a0020473</vt:lpwstr>
      </vt:variant>
      <vt:variant>
        <vt:lpwstr/>
      </vt:variant>
      <vt:variant>
        <vt:i4>8323160</vt:i4>
      </vt:variant>
      <vt:variant>
        <vt:i4>550</vt:i4>
      </vt:variant>
      <vt:variant>
        <vt:i4>0</vt:i4>
      </vt:variant>
      <vt:variant>
        <vt:i4>5</vt:i4>
      </vt:variant>
      <vt:variant>
        <vt:lpwstr>http://www.wave-network.org/sites/wave.local/files/wave_protect_english_0309.pdf</vt:lpwstr>
      </vt:variant>
      <vt:variant>
        <vt:lpwstr/>
      </vt:variant>
      <vt:variant>
        <vt:i4>3538955</vt:i4>
      </vt:variant>
      <vt:variant>
        <vt:i4>547</vt:i4>
      </vt:variant>
      <vt:variant>
        <vt:i4>0</vt:i4>
      </vt:variant>
      <vt:variant>
        <vt:i4>5</vt:i4>
      </vt:variant>
      <vt:variant>
        <vt:lpwstr>http://www.vawnet.org/Assoc_Files_VAWnet/AR_lethality.pdf</vt:lpwstr>
      </vt:variant>
      <vt:variant>
        <vt:lpwstr/>
      </vt:variant>
      <vt:variant>
        <vt:i4>7012467</vt:i4>
      </vt:variant>
      <vt:variant>
        <vt:i4>544</vt:i4>
      </vt:variant>
      <vt:variant>
        <vt:i4>0</vt:i4>
      </vt:variant>
      <vt:variant>
        <vt:i4>5</vt:i4>
      </vt:variant>
      <vt:variant>
        <vt:lpwstr>http://dx.dioi.org/10.1016/j.childyouth.2014.06.003</vt:lpwstr>
      </vt:variant>
      <vt:variant>
        <vt:lpwstr/>
      </vt:variant>
      <vt:variant>
        <vt:i4>3997754</vt:i4>
      </vt:variant>
      <vt:variant>
        <vt:i4>541</vt:i4>
      </vt:variant>
      <vt:variant>
        <vt:i4>0</vt:i4>
      </vt:variant>
      <vt:variant>
        <vt:i4>5</vt:i4>
      </vt:variant>
      <vt:variant>
        <vt:lpwstr>http://dx.doi.org/10.1016/j.cpr.2010.11.009</vt:lpwstr>
      </vt:variant>
      <vt:variant>
        <vt:lpwstr/>
      </vt:variant>
      <vt:variant>
        <vt:i4>3866750</vt:i4>
      </vt:variant>
      <vt:variant>
        <vt:i4>538</vt:i4>
      </vt:variant>
      <vt:variant>
        <vt:i4>0</vt:i4>
      </vt:variant>
      <vt:variant>
        <vt:i4>5</vt:i4>
      </vt:variant>
      <vt:variant>
        <vt:lpwstr>http://dx.doi.org/10.1371/journal.pone.0072484</vt:lpwstr>
      </vt:variant>
      <vt:variant>
        <vt:lpwstr/>
      </vt:variant>
      <vt:variant>
        <vt:i4>2097208</vt:i4>
      </vt:variant>
      <vt:variant>
        <vt:i4>535</vt:i4>
      </vt:variant>
      <vt:variant>
        <vt:i4>0</vt:i4>
      </vt:variant>
      <vt:variant>
        <vt:i4>5</vt:i4>
      </vt:variant>
      <vt:variant>
        <vt:lpwstr>http://dx.doi.org/10.1057/sj.2009.2</vt:lpwstr>
      </vt:variant>
      <vt:variant>
        <vt:lpwstr/>
      </vt:variant>
      <vt:variant>
        <vt:i4>7798899</vt:i4>
      </vt:variant>
      <vt:variant>
        <vt:i4>532</vt:i4>
      </vt:variant>
      <vt:variant>
        <vt:i4>0</vt:i4>
      </vt:variant>
      <vt:variant>
        <vt:i4>5</vt:i4>
      </vt:variant>
      <vt:variant>
        <vt:lpwstr>http://www.justice.gc.ca/eng/rp-pr/cj-jp/fv-vf/rr12_8/rr12_8.pdf</vt:lpwstr>
      </vt:variant>
      <vt:variant>
        <vt:lpwstr/>
      </vt:variant>
      <vt:variant>
        <vt:i4>8192125</vt:i4>
      </vt:variant>
      <vt:variant>
        <vt:i4>529</vt:i4>
      </vt:variant>
      <vt:variant>
        <vt:i4>0</vt:i4>
      </vt:variant>
      <vt:variant>
        <vt:i4>5</vt:i4>
      </vt:variant>
      <vt:variant>
        <vt:lpwstr>http://dx.doi.org/10.1891/1946-6560.4.1.76</vt:lpwstr>
      </vt:variant>
      <vt:variant>
        <vt:lpwstr/>
      </vt:variant>
      <vt:variant>
        <vt:i4>7274607</vt:i4>
      </vt:variant>
      <vt:variant>
        <vt:i4>526</vt:i4>
      </vt:variant>
      <vt:variant>
        <vt:i4>0</vt:i4>
      </vt:variant>
      <vt:variant>
        <vt:i4>5</vt:i4>
      </vt:variant>
      <vt:variant>
        <vt:lpwstr>http://dx.doi.org/10.1177/0886260512468250</vt:lpwstr>
      </vt:variant>
      <vt:variant>
        <vt:lpwstr/>
      </vt:variant>
      <vt:variant>
        <vt:i4>720998</vt:i4>
      </vt:variant>
      <vt:variant>
        <vt:i4>523</vt:i4>
      </vt:variant>
      <vt:variant>
        <vt:i4>0</vt:i4>
      </vt:variant>
      <vt:variant>
        <vt:i4>5</vt:i4>
      </vt:variant>
      <vt:variant>
        <vt:lpwstr>http://www.adfvc.unsw.edu.au/PDF files/risk_assessment.pdf</vt:lpwstr>
      </vt:variant>
      <vt:variant>
        <vt:lpwstr/>
      </vt:variant>
      <vt:variant>
        <vt:i4>5046346</vt:i4>
      </vt:variant>
      <vt:variant>
        <vt:i4>520</vt:i4>
      </vt:variant>
      <vt:variant>
        <vt:i4>0</vt:i4>
      </vt:variant>
      <vt:variant>
        <vt:i4>5</vt:i4>
      </vt:variant>
      <vt:variant>
        <vt:lpwstr>http://dx.doi.org/10.1891/0886-6708.23.2.202</vt:lpwstr>
      </vt:variant>
      <vt:variant>
        <vt:lpwstr/>
      </vt:variant>
      <vt:variant>
        <vt:i4>3735668</vt:i4>
      </vt:variant>
      <vt:variant>
        <vt:i4>517</vt:i4>
      </vt:variant>
      <vt:variant>
        <vt:i4>0</vt:i4>
      </vt:variant>
      <vt:variant>
        <vt:i4>5</vt:i4>
      </vt:variant>
      <vt:variant>
        <vt:lpwstr>http://dx.doi.org/10.1016/j.childyouth.2007.10.009</vt:lpwstr>
      </vt:variant>
      <vt:variant>
        <vt:lpwstr/>
      </vt:variant>
      <vt:variant>
        <vt:i4>3014711</vt:i4>
      </vt:variant>
      <vt:variant>
        <vt:i4>514</vt:i4>
      </vt:variant>
      <vt:variant>
        <vt:i4>0</vt:i4>
      </vt:variant>
      <vt:variant>
        <vt:i4>5</vt:i4>
      </vt:variant>
      <vt:variant>
        <vt:lpwstr>http://dx.doi.org/10.1136/bmj.e4692</vt:lpwstr>
      </vt:variant>
      <vt:variant>
        <vt:lpwstr/>
      </vt:variant>
      <vt:variant>
        <vt:i4>5505119</vt:i4>
      </vt:variant>
      <vt:variant>
        <vt:i4>511</vt:i4>
      </vt:variant>
      <vt:variant>
        <vt:i4>0</vt:i4>
      </vt:variant>
      <vt:variant>
        <vt:i4>5</vt:i4>
      </vt:variant>
      <vt:variant>
        <vt:lpwstr>http://dx.doi.org/10.1177/1524838000001002004</vt:lpwstr>
      </vt:variant>
      <vt:variant>
        <vt:lpwstr/>
      </vt:variant>
      <vt:variant>
        <vt:i4>3866647</vt:i4>
      </vt:variant>
      <vt:variant>
        <vt:i4>508</vt:i4>
      </vt:variant>
      <vt:variant>
        <vt:i4>0</vt:i4>
      </vt:variant>
      <vt:variant>
        <vt:i4>5</vt:i4>
      </vt:variant>
      <vt:variant>
        <vt:lpwstr>http://dx.doi.org/10.1300/J394v05n01_03</vt:lpwstr>
      </vt:variant>
      <vt:variant>
        <vt:lpwstr/>
      </vt:variant>
      <vt:variant>
        <vt:i4>7274532</vt:i4>
      </vt:variant>
      <vt:variant>
        <vt:i4>505</vt:i4>
      </vt:variant>
      <vt:variant>
        <vt:i4>0</vt:i4>
      </vt:variant>
      <vt:variant>
        <vt:i4>5</vt:i4>
      </vt:variant>
      <vt:variant>
        <vt:lpwstr>http://www.police.govt.nz/sites/default/files/resources/evaluation/2011-08-04-fv-risk-assessment-review-of-research.pdf</vt:lpwstr>
      </vt:variant>
      <vt:variant>
        <vt:lpwstr/>
      </vt:variant>
      <vt:variant>
        <vt:i4>3866667</vt:i4>
      </vt:variant>
      <vt:variant>
        <vt:i4>502</vt:i4>
      </vt:variant>
      <vt:variant>
        <vt:i4>0</vt:i4>
      </vt:variant>
      <vt:variant>
        <vt:i4>5</vt:i4>
      </vt:variant>
      <vt:variant>
        <vt:lpwstr>http://dx.doi.org/10.1016/j.avb.2011.02.007</vt:lpwstr>
      </vt:variant>
      <vt:variant>
        <vt:lpwstr/>
      </vt:variant>
      <vt:variant>
        <vt:i4>7274527</vt:i4>
      </vt:variant>
      <vt:variant>
        <vt:i4>499</vt:i4>
      </vt:variant>
      <vt:variant>
        <vt:i4>0</vt:i4>
      </vt:variant>
      <vt:variant>
        <vt:i4>5</vt:i4>
      </vt:variant>
      <vt:variant>
        <vt:lpwstr>http://www.nccdglobal.org/sites/default/files/publication_pdf/special-report-evidence.pdf</vt:lpwstr>
      </vt:variant>
      <vt:variant>
        <vt:lpwstr/>
      </vt:variant>
      <vt:variant>
        <vt:i4>3014698</vt:i4>
      </vt:variant>
      <vt:variant>
        <vt:i4>496</vt:i4>
      </vt:variant>
      <vt:variant>
        <vt:i4>0</vt:i4>
      </vt:variant>
      <vt:variant>
        <vt:i4>5</vt:i4>
      </vt:variant>
      <vt:variant>
        <vt:lpwstr>https://aifs.gov.au/cfca/sites/default/files/publication-documents/b017.pdf</vt:lpwstr>
      </vt:variant>
      <vt:variant>
        <vt:lpwstr/>
      </vt:variant>
      <vt:variant>
        <vt:i4>4521995</vt:i4>
      </vt:variant>
      <vt:variant>
        <vt:i4>485</vt:i4>
      </vt:variant>
      <vt:variant>
        <vt:i4>0</vt:i4>
      </vt:variant>
      <vt:variant>
        <vt:i4>5</vt:i4>
      </vt:variant>
      <vt:variant>
        <vt:lpwstr/>
      </vt:variant>
      <vt:variant>
        <vt:lpwstr>_ENREF_48</vt:lpwstr>
      </vt:variant>
      <vt:variant>
        <vt:i4>4194315</vt:i4>
      </vt:variant>
      <vt:variant>
        <vt:i4>479</vt:i4>
      </vt:variant>
      <vt:variant>
        <vt:i4>0</vt:i4>
      </vt:variant>
      <vt:variant>
        <vt:i4>5</vt:i4>
      </vt:variant>
      <vt:variant>
        <vt:lpwstr/>
      </vt:variant>
      <vt:variant>
        <vt:lpwstr>_ENREF_15</vt:lpwstr>
      </vt:variant>
      <vt:variant>
        <vt:i4>4194315</vt:i4>
      </vt:variant>
      <vt:variant>
        <vt:i4>473</vt:i4>
      </vt:variant>
      <vt:variant>
        <vt:i4>0</vt:i4>
      </vt:variant>
      <vt:variant>
        <vt:i4>5</vt:i4>
      </vt:variant>
      <vt:variant>
        <vt:lpwstr/>
      </vt:variant>
      <vt:variant>
        <vt:lpwstr>_ENREF_15</vt:lpwstr>
      </vt:variant>
      <vt:variant>
        <vt:i4>4653067</vt:i4>
      </vt:variant>
      <vt:variant>
        <vt:i4>467</vt:i4>
      </vt:variant>
      <vt:variant>
        <vt:i4>0</vt:i4>
      </vt:variant>
      <vt:variant>
        <vt:i4>5</vt:i4>
      </vt:variant>
      <vt:variant>
        <vt:lpwstr/>
      </vt:variant>
      <vt:variant>
        <vt:lpwstr>_ENREF_6</vt:lpwstr>
      </vt:variant>
      <vt:variant>
        <vt:i4>4194315</vt:i4>
      </vt:variant>
      <vt:variant>
        <vt:i4>461</vt:i4>
      </vt:variant>
      <vt:variant>
        <vt:i4>0</vt:i4>
      </vt:variant>
      <vt:variant>
        <vt:i4>5</vt:i4>
      </vt:variant>
      <vt:variant>
        <vt:lpwstr/>
      </vt:variant>
      <vt:variant>
        <vt:lpwstr>_ENREF_18</vt:lpwstr>
      </vt:variant>
      <vt:variant>
        <vt:i4>4521995</vt:i4>
      </vt:variant>
      <vt:variant>
        <vt:i4>455</vt:i4>
      </vt:variant>
      <vt:variant>
        <vt:i4>0</vt:i4>
      </vt:variant>
      <vt:variant>
        <vt:i4>5</vt:i4>
      </vt:variant>
      <vt:variant>
        <vt:lpwstr/>
      </vt:variant>
      <vt:variant>
        <vt:lpwstr>_ENREF_47</vt:lpwstr>
      </vt:variant>
      <vt:variant>
        <vt:i4>4521995</vt:i4>
      </vt:variant>
      <vt:variant>
        <vt:i4>449</vt:i4>
      </vt:variant>
      <vt:variant>
        <vt:i4>0</vt:i4>
      </vt:variant>
      <vt:variant>
        <vt:i4>5</vt:i4>
      </vt:variant>
      <vt:variant>
        <vt:lpwstr/>
      </vt:variant>
      <vt:variant>
        <vt:lpwstr>_ENREF_46</vt:lpwstr>
      </vt:variant>
      <vt:variant>
        <vt:i4>4521995</vt:i4>
      </vt:variant>
      <vt:variant>
        <vt:i4>443</vt:i4>
      </vt:variant>
      <vt:variant>
        <vt:i4>0</vt:i4>
      </vt:variant>
      <vt:variant>
        <vt:i4>5</vt:i4>
      </vt:variant>
      <vt:variant>
        <vt:lpwstr/>
      </vt:variant>
      <vt:variant>
        <vt:lpwstr>_ENREF_45</vt:lpwstr>
      </vt:variant>
      <vt:variant>
        <vt:i4>4390923</vt:i4>
      </vt:variant>
      <vt:variant>
        <vt:i4>437</vt:i4>
      </vt:variant>
      <vt:variant>
        <vt:i4>0</vt:i4>
      </vt:variant>
      <vt:variant>
        <vt:i4>5</vt:i4>
      </vt:variant>
      <vt:variant>
        <vt:lpwstr/>
      </vt:variant>
      <vt:variant>
        <vt:lpwstr>_ENREF_25</vt:lpwstr>
      </vt:variant>
      <vt:variant>
        <vt:i4>4194315</vt:i4>
      </vt:variant>
      <vt:variant>
        <vt:i4>431</vt:i4>
      </vt:variant>
      <vt:variant>
        <vt:i4>0</vt:i4>
      </vt:variant>
      <vt:variant>
        <vt:i4>5</vt:i4>
      </vt:variant>
      <vt:variant>
        <vt:lpwstr/>
      </vt:variant>
      <vt:variant>
        <vt:lpwstr>_ENREF_15</vt:lpwstr>
      </vt:variant>
      <vt:variant>
        <vt:i4>4194315</vt:i4>
      </vt:variant>
      <vt:variant>
        <vt:i4>425</vt:i4>
      </vt:variant>
      <vt:variant>
        <vt:i4>0</vt:i4>
      </vt:variant>
      <vt:variant>
        <vt:i4>5</vt:i4>
      </vt:variant>
      <vt:variant>
        <vt:lpwstr/>
      </vt:variant>
      <vt:variant>
        <vt:lpwstr>_ENREF_15</vt:lpwstr>
      </vt:variant>
      <vt:variant>
        <vt:i4>4521995</vt:i4>
      </vt:variant>
      <vt:variant>
        <vt:i4>419</vt:i4>
      </vt:variant>
      <vt:variant>
        <vt:i4>0</vt:i4>
      </vt:variant>
      <vt:variant>
        <vt:i4>5</vt:i4>
      </vt:variant>
      <vt:variant>
        <vt:lpwstr/>
      </vt:variant>
      <vt:variant>
        <vt:lpwstr>_ENREF_44</vt:lpwstr>
      </vt:variant>
      <vt:variant>
        <vt:i4>4521995</vt:i4>
      </vt:variant>
      <vt:variant>
        <vt:i4>413</vt:i4>
      </vt:variant>
      <vt:variant>
        <vt:i4>0</vt:i4>
      </vt:variant>
      <vt:variant>
        <vt:i4>5</vt:i4>
      </vt:variant>
      <vt:variant>
        <vt:lpwstr/>
      </vt:variant>
      <vt:variant>
        <vt:lpwstr>_ENREF_43</vt:lpwstr>
      </vt:variant>
      <vt:variant>
        <vt:i4>4521995</vt:i4>
      </vt:variant>
      <vt:variant>
        <vt:i4>407</vt:i4>
      </vt:variant>
      <vt:variant>
        <vt:i4>0</vt:i4>
      </vt:variant>
      <vt:variant>
        <vt:i4>5</vt:i4>
      </vt:variant>
      <vt:variant>
        <vt:lpwstr/>
      </vt:variant>
      <vt:variant>
        <vt:lpwstr>_ENREF_42</vt:lpwstr>
      </vt:variant>
      <vt:variant>
        <vt:i4>4194315</vt:i4>
      </vt:variant>
      <vt:variant>
        <vt:i4>401</vt:i4>
      </vt:variant>
      <vt:variant>
        <vt:i4>0</vt:i4>
      </vt:variant>
      <vt:variant>
        <vt:i4>5</vt:i4>
      </vt:variant>
      <vt:variant>
        <vt:lpwstr/>
      </vt:variant>
      <vt:variant>
        <vt:lpwstr>_ENREF_15</vt:lpwstr>
      </vt:variant>
      <vt:variant>
        <vt:i4>4653067</vt:i4>
      </vt:variant>
      <vt:variant>
        <vt:i4>395</vt:i4>
      </vt:variant>
      <vt:variant>
        <vt:i4>0</vt:i4>
      </vt:variant>
      <vt:variant>
        <vt:i4>5</vt:i4>
      </vt:variant>
      <vt:variant>
        <vt:lpwstr/>
      </vt:variant>
      <vt:variant>
        <vt:lpwstr>_ENREF_6</vt:lpwstr>
      </vt:variant>
      <vt:variant>
        <vt:i4>4653067</vt:i4>
      </vt:variant>
      <vt:variant>
        <vt:i4>389</vt:i4>
      </vt:variant>
      <vt:variant>
        <vt:i4>0</vt:i4>
      </vt:variant>
      <vt:variant>
        <vt:i4>5</vt:i4>
      </vt:variant>
      <vt:variant>
        <vt:lpwstr/>
      </vt:variant>
      <vt:variant>
        <vt:lpwstr>_ENREF_6</vt:lpwstr>
      </vt:variant>
      <vt:variant>
        <vt:i4>4653067</vt:i4>
      </vt:variant>
      <vt:variant>
        <vt:i4>383</vt:i4>
      </vt:variant>
      <vt:variant>
        <vt:i4>0</vt:i4>
      </vt:variant>
      <vt:variant>
        <vt:i4>5</vt:i4>
      </vt:variant>
      <vt:variant>
        <vt:lpwstr/>
      </vt:variant>
      <vt:variant>
        <vt:lpwstr>_ENREF_6</vt:lpwstr>
      </vt:variant>
      <vt:variant>
        <vt:i4>4521995</vt:i4>
      </vt:variant>
      <vt:variant>
        <vt:i4>377</vt:i4>
      </vt:variant>
      <vt:variant>
        <vt:i4>0</vt:i4>
      </vt:variant>
      <vt:variant>
        <vt:i4>5</vt:i4>
      </vt:variant>
      <vt:variant>
        <vt:lpwstr/>
      </vt:variant>
      <vt:variant>
        <vt:lpwstr>_ENREF_41</vt:lpwstr>
      </vt:variant>
      <vt:variant>
        <vt:i4>4325387</vt:i4>
      </vt:variant>
      <vt:variant>
        <vt:i4>371</vt:i4>
      </vt:variant>
      <vt:variant>
        <vt:i4>0</vt:i4>
      </vt:variant>
      <vt:variant>
        <vt:i4>5</vt:i4>
      </vt:variant>
      <vt:variant>
        <vt:lpwstr/>
      </vt:variant>
      <vt:variant>
        <vt:lpwstr>_ENREF_39</vt:lpwstr>
      </vt:variant>
      <vt:variant>
        <vt:i4>4653067</vt:i4>
      </vt:variant>
      <vt:variant>
        <vt:i4>365</vt:i4>
      </vt:variant>
      <vt:variant>
        <vt:i4>0</vt:i4>
      </vt:variant>
      <vt:variant>
        <vt:i4>5</vt:i4>
      </vt:variant>
      <vt:variant>
        <vt:lpwstr/>
      </vt:variant>
      <vt:variant>
        <vt:lpwstr>_ENREF_6</vt:lpwstr>
      </vt:variant>
      <vt:variant>
        <vt:i4>4194315</vt:i4>
      </vt:variant>
      <vt:variant>
        <vt:i4>356</vt:i4>
      </vt:variant>
      <vt:variant>
        <vt:i4>0</vt:i4>
      </vt:variant>
      <vt:variant>
        <vt:i4>5</vt:i4>
      </vt:variant>
      <vt:variant>
        <vt:lpwstr/>
      </vt:variant>
      <vt:variant>
        <vt:lpwstr>_ENREF_10</vt:lpwstr>
      </vt:variant>
      <vt:variant>
        <vt:i4>4194315</vt:i4>
      </vt:variant>
      <vt:variant>
        <vt:i4>350</vt:i4>
      </vt:variant>
      <vt:variant>
        <vt:i4>0</vt:i4>
      </vt:variant>
      <vt:variant>
        <vt:i4>5</vt:i4>
      </vt:variant>
      <vt:variant>
        <vt:lpwstr/>
      </vt:variant>
      <vt:variant>
        <vt:lpwstr>_ENREF_10</vt:lpwstr>
      </vt:variant>
      <vt:variant>
        <vt:i4>4521995</vt:i4>
      </vt:variant>
      <vt:variant>
        <vt:i4>344</vt:i4>
      </vt:variant>
      <vt:variant>
        <vt:i4>0</vt:i4>
      </vt:variant>
      <vt:variant>
        <vt:i4>5</vt:i4>
      </vt:variant>
      <vt:variant>
        <vt:lpwstr/>
      </vt:variant>
      <vt:variant>
        <vt:lpwstr>_ENREF_41</vt:lpwstr>
      </vt:variant>
      <vt:variant>
        <vt:i4>4521995</vt:i4>
      </vt:variant>
      <vt:variant>
        <vt:i4>338</vt:i4>
      </vt:variant>
      <vt:variant>
        <vt:i4>0</vt:i4>
      </vt:variant>
      <vt:variant>
        <vt:i4>5</vt:i4>
      </vt:variant>
      <vt:variant>
        <vt:lpwstr/>
      </vt:variant>
      <vt:variant>
        <vt:lpwstr>_ENREF_40</vt:lpwstr>
      </vt:variant>
      <vt:variant>
        <vt:i4>4390923</vt:i4>
      </vt:variant>
      <vt:variant>
        <vt:i4>332</vt:i4>
      </vt:variant>
      <vt:variant>
        <vt:i4>0</vt:i4>
      </vt:variant>
      <vt:variant>
        <vt:i4>5</vt:i4>
      </vt:variant>
      <vt:variant>
        <vt:lpwstr/>
      </vt:variant>
      <vt:variant>
        <vt:lpwstr>_ENREF_25</vt:lpwstr>
      </vt:variant>
      <vt:variant>
        <vt:i4>4521995</vt:i4>
      </vt:variant>
      <vt:variant>
        <vt:i4>326</vt:i4>
      </vt:variant>
      <vt:variant>
        <vt:i4>0</vt:i4>
      </vt:variant>
      <vt:variant>
        <vt:i4>5</vt:i4>
      </vt:variant>
      <vt:variant>
        <vt:lpwstr/>
      </vt:variant>
      <vt:variant>
        <vt:lpwstr>_ENREF_40</vt:lpwstr>
      </vt:variant>
      <vt:variant>
        <vt:i4>4521995</vt:i4>
      </vt:variant>
      <vt:variant>
        <vt:i4>320</vt:i4>
      </vt:variant>
      <vt:variant>
        <vt:i4>0</vt:i4>
      </vt:variant>
      <vt:variant>
        <vt:i4>5</vt:i4>
      </vt:variant>
      <vt:variant>
        <vt:lpwstr/>
      </vt:variant>
      <vt:variant>
        <vt:lpwstr>_ENREF_40</vt:lpwstr>
      </vt:variant>
      <vt:variant>
        <vt:i4>4521995</vt:i4>
      </vt:variant>
      <vt:variant>
        <vt:i4>314</vt:i4>
      </vt:variant>
      <vt:variant>
        <vt:i4>0</vt:i4>
      </vt:variant>
      <vt:variant>
        <vt:i4>5</vt:i4>
      </vt:variant>
      <vt:variant>
        <vt:lpwstr/>
      </vt:variant>
      <vt:variant>
        <vt:lpwstr>_ENREF_40</vt:lpwstr>
      </vt:variant>
      <vt:variant>
        <vt:i4>4194315</vt:i4>
      </vt:variant>
      <vt:variant>
        <vt:i4>308</vt:i4>
      </vt:variant>
      <vt:variant>
        <vt:i4>0</vt:i4>
      </vt:variant>
      <vt:variant>
        <vt:i4>5</vt:i4>
      </vt:variant>
      <vt:variant>
        <vt:lpwstr/>
      </vt:variant>
      <vt:variant>
        <vt:lpwstr>_ENREF_17</vt:lpwstr>
      </vt:variant>
      <vt:variant>
        <vt:i4>4390923</vt:i4>
      </vt:variant>
      <vt:variant>
        <vt:i4>302</vt:i4>
      </vt:variant>
      <vt:variant>
        <vt:i4>0</vt:i4>
      </vt:variant>
      <vt:variant>
        <vt:i4>5</vt:i4>
      </vt:variant>
      <vt:variant>
        <vt:lpwstr/>
      </vt:variant>
      <vt:variant>
        <vt:lpwstr>_ENREF_29</vt:lpwstr>
      </vt:variant>
      <vt:variant>
        <vt:i4>4390923</vt:i4>
      </vt:variant>
      <vt:variant>
        <vt:i4>296</vt:i4>
      </vt:variant>
      <vt:variant>
        <vt:i4>0</vt:i4>
      </vt:variant>
      <vt:variant>
        <vt:i4>5</vt:i4>
      </vt:variant>
      <vt:variant>
        <vt:lpwstr/>
      </vt:variant>
      <vt:variant>
        <vt:lpwstr>_ENREF_25</vt:lpwstr>
      </vt:variant>
      <vt:variant>
        <vt:i4>4325387</vt:i4>
      </vt:variant>
      <vt:variant>
        <vt:i4>290</vt:i4>
      </vt:variant>
      <vt:variant>
        <vt:i4>0</vt:i4>
      </vt:variant>
      <vt:variant>
        <vt:i4>5</vt:i4>
      </vt:variant>
      <vt:variant>
        <vt:lpwstr/>
      </vt:variant>
      <vt:variant>
        <vt:lpwstr>_ENREF_39</vt:lpwstr>
      </vt:variant>
      <vt:variant>
        <vt:i4>4325387</vt:i4>
      </vt:variant>
      <vt:variant>
        <vt:i4>284</vt:i4>
      </vt:variant>
      <vt:variant>
        <vt:i4>0</vt:i4>
      </vt:variant>
      <vt:variant>
        <vt:i4>5</vt:i4>
      </vt:variant>
      <vt:variant>
        <vt:lpwstr/>
      </vt:variant>
      <vt:variant>
        <vt:lpwstr>_ENREF_38</vt:lpwstr>
      </vt:variant>
      <vt:variant>
        <vt:i4>4194315</vt:i4>
      </vt:variant>
      <vt:variant>
        <vt:i4>278</vt:i4>
      </vt:variant>
      <vt:variant>
        <vt:i4>0</vt:i4>
      </vt:variant>
      <vt:variant>
        <vt:i4>5</vt:i4>
      </vt:variant>
      <vt:variant>
        <vt:lpwstr/>
      </vt:variant>
      <vt:variant>
        <vt:lpwstr>_ENREF_17</vt:lpwstr>
      </vt:variant>
      <vt:variant>
        <vt:i4>4325387</vt:i4>
      </vt:variant>
      <vt:variant>
        <vt:i4>274</vt:i4>
      </vt:variant>
      <vt:variant>
        <vt:i4>0</vt:i4>
      </vt:variant>
      <vt:variant>
        <vt:i4>5</vt:i4>
      </vt:variant>
      <vt:variant>
        <vt:lpwstr/>
      </vt:variant>
      <vt:variant>
        <vt:lpwstr>_ENREF_31</vt:lpwstr>
      </vt:variant>
      <vt:variant>
        <vt:i4>4194315</vt:i4>
      </vt:variant>
      <vt:variant>
        <vt:i4>271</vt:i4>
      </vt:variant>
      <vt:variant>
        <vt:i4>0</vt:i4>
      </vt:variant>
      <vt:variant>
        <vt:i4>5</vt:i4>
      </vt:variant>
      <vt:variant>
        <vt:lpwstr/>
      </vt:variant>
      <vt:variant>
        <vt:lpwstr>_ENREF_17</vt:lpwstr>
      </vt:variant>
      <vt:variant>
        <vt:i4>4653067</vt:i4>
      </vt:variant>
      <vt:variant>
        <vt:i4>268</vt:i4>
      </vt:variant>
      <vt:variant>
        <vt:i4>0</vt:i4>
      </vt:variant>
      <vt:variant>
        <vt:i4>5</vt:i4>
      </vt:variant>
      <vt:variant>
        <vt:lpwstr/>
      </vt:variant>
      <vt:variant>
        <vt:lpwstr>_ENREF_6</vt:lpwstr>
      </vt:variant>
      <vt:variant>
        <vt:i4>4325387</vt:i4>
      </vt:variant>
      <vt:variant>
        <vt:i4>258</vt:i4>
      </vt:variant>
      <vt:variant>
        <vt:i4>0</vt:i4>
      </vt:variant>
      <vt:variant>
        <vt:i4>5</vt:i4>
      </vt:variant>
      <vt:variant>
        <vt:lpwstr/>
      </vt:variant>
      <vt:variant>
        <vt:lpwstr>_ENREF_31</vt:lpwstr>
      </vt:variant>
      <vt:variant>
        <vt:i4>4325387</vt:i4>
      </vt:variant>
      <vt:variant>
        <vt:i4>252</vt:i4>
      </vt:variant>
      <vt:variant>
        <vt:i4>0</vt:i4>
      </vt:variant>
      <vt:variant>
        <vt:i4>5</vt:i4>
      </vt:variant>
      <vt:variant>
        <vt:lpwstr/>
      </vt:variant>
      <vt:variant>
        <vt:lpwstr>_ENREF_31</vt:lpwstr>
      </vt:variant>
      <vt:variant>
        <vt:i4>4325387</vt:i4>
      </vt:variant>
      <vt:variant>
        <vt:i4>246</vt:i4>
      </vt:variant>
      <vt:variant>
        <vt:i4>0</vt:i4>
      </vt:variant>
      <vt:variant>
        <vt:i4>5</vt:i4>
      </vt:variant>
      <vt:variant>
        <vt:lpwstr/>
      </vt:variant>
      <vt:variant>
        <vt:lpwstr>_ENREF_31</vt:lpwstr>
      </vt:variant>
      <vt:variant>
        <vt:i4>4325387</vt:i4>
      </vt:variant>
      <vt:variant>
        <vt:i4>240</vt:i4>
      </vt:variant>
      <vt:variant>
        <vt:i4>0</vt:i4>
      </vt:variant>
      <vt:variant>
        <vt:i4>5</vt:i4>
      </vt:variant>
      <vt:variant>
        <vt:lpwstr/>
      </vt:variant>
      <vt:variant>
        <vt:lpwstr>_ENREF_37</vt:lpwstr>
      </vt:variant>
      <vt:variant>
        <vt:i4>4325387</vt:i4>
      </vt:variant>
      <vt:variant>
        <vt:i4>234</vt:i4>
      </vt:variant>
      <vt:variant>
        <vt:i4>0</vt:i4>
      </vt:variant>
      <vt:variant>
        <vt:i4>5</vt:i4>
      </vt:variant>
      <vt:variant>
        <vt:lpwstr/>
      </vt:variant>
      <vt:variant>
        <vt:lpwstr>_ENREF_36</vt:lpwstr>
      </vt:variant>
      <vt:variant>
        <vt:i4>4194315</vt:i4>
      </vt:variant>
      <vt:variant>
        <vt:i4>228</vt:i4>
      </vt:variant>
      <vt:variant>
        <vt:i4>0</vt:i4>
      </vt:variant>
      <vt:variant>
        <vt:i4>5</vt:i4>
      </vt:variant>
      <vt:variant>
        <vt:lpwstr/>
      </vt:variant>
      <vt:variant>
        <vt:lpwstr>_ENREF_17</vt:lpwstr>
      </vt:variant>
      <vt:variant>
        <vt:i4>4325387</vt:i4>
      </vt:variant>
      <vt:variant>
        <vt:i4>222</vt:i4>
      </vt:variant>
      <vt:variant>
        <vt:i4>0</vt:i4>
      </vt:variant>
      <vt:variant>
        <vt:i4>5</vt:i4>
      </vt:variant>
      <vt:variant>
        <vt:lpwstr/>
      </vt:variant>
      <vt:variant>
        <vt:lpwstr>_ENREF_35</vt:lpwstr>
      </vt:variant>
      <vt:variant>
        <vt:i4>4194315</vt:i4>
      </vt:variant>
      <vt:variant>
        <vt:i4>216</vt:i4>
      </vt:variant>
      <vt:variant>
        <vt:i4>0</vt:i4>
      </vt:variant>
      <vt:variant>
        <vt:i4>5</vt:i4>
      </vt:variant>
      <vt:variant>
        <vt:lpwstr/>
      </vt:variant>
      <vt:variant>
        <vt:lpwstr>_ENREF_17</vt:lpwstr>
      </vt:variant>
      <vt:variant>
        <vt:i4>4325387</vt:i4>
      </vt:variant>
      <vt:variant>
        <vt:i4>210</vt:i4>
      </vt:variant>
      <vt:variant>
        <vt:i4>0</vt:i4>
      </vt:variant>
      <vt:variant>
        <vt:i4>5</vt:i4>
      </vt:variant>
      <vt:variant>
        <vt:lpwstr/>
      </vt:variant>
      <vt:variant>
        <vt:lpwstr>_ENREF_34</vt:lpwstr>
      </vt:variant>
      <vt:variant>
        <vt:i4>4194315</vt:i4>
      </vt:variant>
      <vt:variant>
        <vt:i4>204</vt:i4>
      </vt:variant>
      <vt:variant>
        <vt:i4>0</vt:i4>
      </vt:variant>
      <vt:variant>
        <vt:i4>5</vt:i4>
      </vt:variant>
      <vt:variant>
        <vt:lpwstr/>
      </vt:variant>
      <vt:variant>
        <vt:lpwstr>_ENREF_15</vt:lpwstr>
      </vt:variant>
      <vt:variant>
        <vt:i4>4390923</vt:i4>
      </vt:variant>
      <vt:variant>
        <vt:i4>195</vt:i4>
      </vt:variant>
      <vt:variant>
        <vt:i4>0</vt:i4>
      </vt:variant>
      <vt:variant>
        <vt:i4>5</vt:i4>
      </vt:variant>
      <vt:variant>
        <vt:lpwstr/>
      </vt:variant>
      <vt:variant>
        <vt:lpwstr>_ENREF_25</vt:lpwstr>
      </vt:variant>
      <vt:variant>
        <vt:i4>4194315</vt:i4>
      </vt:variant>
      <vt:variant>
        <vt:i4>189</vt:i4>
      </vt:variant>
      <vt:variant>
        <vt:i4>0</vt:i4>
      </vt:variant>
      <vt:variant>
        <vt:i4>5</vt:i4>
      </vt:variant>
      <vt:variant>
        <vt:lpwstr/>
      </vt:variant>
      <vt:variant>
        <vt:lpwstr>_ENREF_17</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_ENREF_31</vt:lpwstr>
      </vt:variant>
      <vt:variant>
        <vt:i4>4653067</vt:i4>
      </vt:variant>
      <vt:variant>
        <vt:i4>165</vt:i4>
      </vt:variant>
      <vt:variant>
        <vt:i4>0</vt:i4>
      </vt:variant>
      <vt:variant>
        <vt:i4>5</vt:i4>
      </vt:variant>
      <vt:variant>
        <vt:lpwstr/>
      </vt:variant>
      <vt:variant>
        <vt:lpwstr>_ENREF_6</vt:lpwstr>
      </vt:variant>
      <vt:variant>
        <vt:i4>4194315</vt:i4>
      </vt:variant>
      <vt:variant>
        <vt:i4>159</vt:i4>
      </vt:variant>
      <vt:variant>
        <vt:i4>0</vt:i4>
      </vt:variant>
      <vt:variant>
        <vt:i4>5</vt:i4>
      </vt:variant>
      <vt:variant>
        <vt:lpwstr/>
      </vt:variant>
      <vt:variant>
        <vt:lpwstr>_ENREF_15</vt:lpwstr>
      </vt:variant>
      <vt:variant>
        <vt:i4>4194315</vt:i4>
      </vt:variant>
      <vt:variant>
        <vt:i4>153</vt:i4>
      </vt:variant>
      <vt:variant>
        <vt:i4>0</vt:i4>
      </vt:variant>
      <vt:variant>
        <vt:i4>5</vt:i4>
      </vt:variant>
      <vt:variant>
        <vt:lpwstr/>
      </vt:variant>
      <vt:variant>
        <vt:lpwstr>_ENREF_14</vt:lpwstr>
      </vt:variant>
      <vt:variant>
        <vt:i4>4325387</vt:i4>
      </vt:variant>
      <vt:variant>
        <vt:i4>147</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4194315</vt:i4>
      </vt:variant>
      <vt:variant>
        <vt:i4>135</vt:i4>
      </vt:variant>
      <vt:variant>
        <vt:i4>0</vt:i4>
      </vt:variant>
      <vt:variant>
        <vt:i4>5</vt:i4>
      </vt:variant>
      <vt:variant>
        <vt:lpwstr/>
      </vt:variant>
      <vt:variant>
        <vt:lpwstr>_ENREF_1</vt:lpwstr>
      </vt:variant>
      <vt:variant>
        <vt:i4>4325387</vt:i4>
      </vt:variant>
      <vt:variant>
        <vt:i4>129</vt:i4>
      </vt:variant>
      <vt:variant>
        <vt:i4>0</vt:i4>
      </vt:variant>
      <vt:variant>
        <vt:i4>5</vt:i4>
      </vt:variant>
      <vt:variant>
        <vt:lpwstr/>
      </vt:variant>
      <vt:variant>
        <vt:lpwstr>_ENREF_30</vt:lpwstr>
      </vt:variant>
      <vt:variant>
        <vt:i4>4390923</vt:i4>
      </vt:variant>
      <vt:variant>
        <vt:i4>123</vt:i4>
      </vt:variant>
      <vt:variant>
        <vt:i4>0</vt:i4>
      </vt:variant>
      <vt:variant>
        <vt:i4>5</vt:i4>
      </vt:variant>
      <vt:variant>
        <vt:lpwstr/>
      </vt:variant>
      <vt:variant>
        <vt:lpwstr>_ENREF_25</vt:lpwstr>
      </vt:variant>
      <vt:variant>
        <vt:i4>4390923</vt:i4>
      </vt:variant>
      <vt:variant>
        <vt:i4>117</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_ENREF_29</vt:lpwstr>
      </vt:variant>
      <vt:variant>
        <vt:i4>4390923</vt:i4>
      </vt:variant>
      <vt:variant>
        <vt:i4>105</vt:i4>
      </vt:variant>
      <vt:variant>
        <vt:i4>0</vt:i4>
      </vt:variant>
      <vt:variant>
        <vt:i4>5</vt:i4>
      </vt:variant>
      <vt:variant>
        <vt:lpwstr/>
      </vt:variant>
      <vt:variant>
        <vt:lpwstr>_ENREF_28</vt:lpwstr>
      </vt:variant>
      <vt:variant>
        <vt:i4>4390923</vt:i4>
      </vt:variant>
      <vt:variant>
        <vt:i4>99</vt:i4>
      </vt:variant>
      <vt:variant>
        <vt:i4>0</vt:i4>
      </vt:variant>
      <vt:variant>
        <vt:i4>5</vt:i4>
      </vt:variant>
      <vt:variant>
        <vt:lpwstr/>
      </vt:variant>
      <vt:variant>
        <vt:lpwstr>_ENREF_27</vt:lpwstr>
      </vt:variant>
      <vt:variant>
        <vt:i4>4390923</vt:i4>
      </vt:variant>
      <vt:variant>
        <vt:i4>93</vt:i4>
      </vt:variant>
      <vt:variant>
        <vt:i4>0</vt:i4>
      </vt:variant>
      <vt:variant>
        <vt:i4>5</vt:i4>
      </vt:variant>
      <vt:variant>
        <vt:lpwstr/>
      </vt:variant>
      <vt:variant>
        <vt:lpwstr>_ENREF_26</vt:lpwstr>
      </vt:variant>
      <vt:variant>
        <vt:i4>4521995</vt:i4>
      </vt:variant>
      <vt:variant>
        <vt:i4>87</vt:i4>
      </vt:variant>
      <vt:variant>
        <vt:i4>0</vt:i4>
      </vt:variant>
      <vt:variant>
        <vt:i4>5</vt:i4>
      </vt:variant>
      <vt:variant>
        <vt:lpwstr/>
      </vt:variant>
      <vt:variant>
        <vt:lpwstr>_ENREF_4</vt:lpwstr>
      </vt:variant>
      <vt:variant>
        <vt:i4>4390923</vt:i4>
      </vt:variant>
      <vt:variant>
        <vt:i4>83</vt:i4>
      </vt:variant>
      <vt:variant>
        <vt:i4>0</vt:i4>
      </vt:variant>
      <vt:variant>
        <vt:i4>5</vt:i4>
      </vt:variant>
      <vt:variant>
        <vt:lpwstr/>
      </vt:variant>
      <vt:variant>
        <vt:lpwstr>_ENREF_21</vt:lpwstr>
      </vt:variant>
      <vt:variant>
        <vt:i4>4521995</vt:i4>
      </vt:variant>
      <vt:variant>
        <vt:i4>80</vt:i4>
      </vt:variant>
      <vt:variant>
        <vt:i4>0</vt:i4>
      </vt:variant>
      <vt:variant>
        <vt:i4>5</vt:i4>
      </vt:variant>
      <vt:variant>
        <vt:lpwstr/>
      </vt:variant>
      <vt:variant>
        <vt:lpwstr>_ENREF_4</vt:lpwstr>
      </vt:variant>
      <vt:variant>
        <vt:i4>4390923</vt:i4>
      </vt:variant>
      <vt:variant>
        <vt:i4>72</vt:i4>
      </vt:variant>
      <vt:variant>
        <vt:i4>0</vt:i4>
      </vt:variant>
      <vt:variant>
        <vt:i4>5</vt:i4>
      </vt:variant>
      <vt:variant>
        <vt:lpwstr/>
      </vt:variant>
      <vt:variant>
        <vt:lpwstr>_ENREF_25</vt:lpwstr>
      </vt:variant>
      <vt:variant>
        <vt:i4>4390923</vt:i4>
      </vt:variant>
      <vt:variant>
        <vt:i4>66</vt:i4>
      </vt:variant>
      <vt:variant>
        <vt:i4>0</vt:i4>
      </vt:variant>
      <vt:variant>
        <vt:i4>5</vt:i4>
      </vt:variant>
      <vt:variant>
        <vt:lpwstr/>
      </vt:variant>
      <vt:variant>
        <vt:lpwstr>_ENREF_23</vt:lpwstr>
      </vt:variant>
      <vt:variant>
        <vt:i4>4390923</vt:i4>
      </vt:variant>
      <vt:variant>
        <vt:i4>60</vt:i4>
      </vt:variant>
      <vt:variant>
        <vt:i4>0</vt:i4>
      </vt:variant>
      <vt:variant>
        <vt:i4>5</vt:i4>
      </vt:variant>
      <vt:variant>
        <vt:lpwstr/>
      </vt:variant>
      <vt:variant>
        <vt:lpwstr>_ENREF_24</vt:lpwstr>
      </vt:variant>
      <vt:variant>
        <vt:i4>4521995</vt:i4>
      </vt:variant>
      <vt:variant>
        <vt:i4>54</vt:i4>
      </vt:variant>
      <vt:variant>
        <vt:i4>0</vt:i4>
      </vt:variant>
      <vt:variant>
        <vt:i4>5</vt:i4>
      </vt:variant>
      <vt:variant>
        <vt:lpwstr/>
      </vt:variant>
      <vt:variant>
        <vt:lpwstr>_ENREF_4</vt:lpwstr>
      </vt:variant>
      <vt:variant>
        <vt:i4>4390923</vt:i4>
      </vt:variant>
      <vt:variant>
        <vt:i4>48</vt:i4>
      </vt:variant>
      <vt:variant>
        <vt:i4>0</vt:i4>
      </vt:variant>
      <vt:variant>
        <vt:i4>5</vt:i4>
      </vt:variant>
      <vt:variant>
        <vt:lpwstr/>
      </vt:variant>
      <vt:variant>
        <vt:lpwstr>_ENREF_23</vt:lpwstr>
      </vt:variant>
      <vt:variant>
        <vt:i4>4390923</vt:i4>
      </vt:variant>
      <vt:variant>
        <vt:i4>42</vt:i4>
      </vt:variant>
      <vt:variant>
        <vt:i4>0</vt:i4>
      </vt:variant>
      <vt:variant>
        <vt:i4>5</vt:i4>
      </vt:variant>
      <vt:variant>
        <vt:lpwstr/>
      </vt:variant>
      <vt:variant>
        <vt:lpwstr>_ENREF_22</vt:lpwstr>
      </vt:variant>
      <vt:variant>
        <vt:i4>4390923</vt:i4>
      </vt:variant>
      <vt:variant>
        <vt:i4>36</vt:i4>
      </vt:variant>
      <vt:variant>
        <vt:i4>0</vt:i4>
      </vt:variant>
      <vt:variant>
        <vt:i4>5</vt:i4>
      </vt:variant>
      <vt:variant>
        <vt:lpwstr/>
      </vt:variant>
      <vt:variant>
        <vt:lpwstr>_ENREF_21</vt:lpwstr>
      </vt:variant>
      <vt:variant>
        <vt:i4>4390923</vt:i4>
      </vt:variant>
      <vt:variant>
        <vt:i4>30</vt:i4>
      </vt:variant>
      <vt:variant>
        <vt:i4>0</vt:i4>
      </vt:variant>
      <vt:variant>
        <vt:i4>5</vt:i4>
      </vt:variant>
      <vt:variant>
        <vt:lpwstr/>
      </vt:variant>
      <vt:variant>
        <vt:lpwstr>_ENREF_20</vt:lpwstr>
      </vt:variant>
      <vt:variant>
        <vt:i4>4194315</vt:i4>
      </vt:variant>
      <vt:variant>
        <vt:i4>24</vt:i4>
      </vt:variant>
      <vt:variant>
        <vt:i4>0</vt:i4>
      </vt:variant>
      <vt:variant>
        <vt:i4>5</vt:i4>
      </vt:variant>
      <vt:variant>
        <vt:lpwstr/>
      </vt:variant>
      <vt:variant>
        <vt:lpwstr>_ENREF_15</vt:lpwstr>
      </vt:variant>
      <vt:variant>
        <vt:i4>4194315</vt:i4>
      </vt:variant>
      <vt:variant>
        <vt:i4>18</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_ENREF_15</vt:lpwstr>
      </vt:variant>
      <vt:variant>
        <vt:i4>4194315</vt:i4>
      </vt:variant>
      <vt:variant>
        <vt:i4>6</vt:i4>
      </vt:variant>
      <vt:variant>
        <vt:i4>0</vt:i4>
      </vt:variant>
      <vt:variant>
        <vt:i4>5</vt:i4>
      </vt:variant>
      <vt:variant>
        <vt:lpwstr/>
      </vt:variant>
      <vt:variant>
        <vt:lpwstr>_ENREF_13</vt:lpwstr>
      </vt:variant>
      <vt:variant>
        <vt:i4>4653067</vt:i4>
      </vt:variant>
      <vt:variant>
        <vt:i4>0</vt:i4>
      </vt:variant>
      <vt:variant>
        <vt:i4>0</vt:i4>
      </vt:variant>
      <vt:variant>
        <vt:i4>5</vt:i4>
      </vt:variant>
      <vt:variant>
        <vt:lpwstr/>
      </vt:variant>
      <vt:variant>
        <vt:lpwstr>_ENREF_6</vt:lpwstr>
      </vt:variant>
      <vt:variant>
        <vt:i4>4194315</vt:i4>
      </vt:variant>
      <vt:variant>
        <vt:i4>0</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_ENREF_19</vt:lpwstr>
      </vt:variant>
      <vt:variant>
        <vt:i4>4194315</vt:i4>
      </vt:variant>
      <vt:variant>
        <vt:i4>90</vt:i4>
      </vt:variant>
      <vt:variant>
        <vt:i4>0</vt:i4>
      </vt:variant>
      <vt:variant>
        <vt:i4>5</vt:i4>
      </vt:variant>
      <vt:variant>
        <vt:lpwstr/>
      </vt:variant>
      <vt:variant>
        <vt:lpwstr>_ENREF_16</vt:lpwstr>
      </vt:variant>
      <vt:variant>
        <vt:i4>4194315</vt:i4>
      </vt:variant>
      <vt:variant>
        <vt:i4>84</vt:i4>
      </vt:variant>
      <vt:variant>
        <vt:i4>0</vt:i4>
      </vt:variant>
      <vt:variant>
        <vt:i4>5</vt:i4>
      </vt:variant>
      <vt:variant>
        <vt:lpwstr/>
      </vt:variant>
      <vt:variant>
        <vt:lpwstr>_ENREF_10</vt:lpwstr>
      </vt:variant>
      <vt:variant>
        <vt:i4>4194315</vt:i4>
      </vt:variant>
      <vt:variant>
        <vt:i4>78</vt:i4>
      </vt:variant>
      <vt:variant>
        <vt:i4>0</vt:i4>
      </vt:variant>
      <vt:variant>
        <vt:i4>5</vt:i4>
      </vt:variant>
      <vt:variant>
        <vt:lpwstr/>
      </vt:variant>
      <vt:variant>
        <vt:lpwstr>_ENREF_10</vt:lpwstr>
      </vt:variant>
      <vt:variant>
        <vt:i4>4587531</vt:i4>
      </vt:variant>
      <vt:variant>
        <vt:i4>72</vt:i4>
      </vt:variant>
      <vt:variant>
        <vt:i4>0</vt:i4>
      </vt:variant>
      <vt:variant>
        <vt:i4>5</vt:i4>
      </vt:variant>
      <vt:variant>
        <vt:lpwstr/>
      </vt:variant>
      <vt:variant>
        <vt:lpwstr>_ENREF_7</vt:lpwstr>
      </vt:variant>
      <vt:variant>
        <vt:i4>4325387</vt:i4>
      </vt:variant>
      <vt:variant>
        <vt:i4>66</vt:i4>
      </vt:variant>
      <vt:variant>
        <vt:i4>0</vt:i4>
      </vt:variant>
      <vt:variant>
        <vt:i4>5</vt:i4>
      </vt:variant>
      <vt:variant>
        <vt:lpwstr/>
      </vt:variant>
      <vt:variant>
        <vt:lpwstr>_ENREF_3</vt:lpwstr>
      </vt:variant>
      <vt:variant>
        <vt:i4>4194315</vt:i4>
      </vt:variant>
      <vt:variant>
        <vt:i4>60</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_ENREF_12</vt:lpwstr>
      </vt:variant>
      <vt:variant>
        <vt:i4>4718603</vt:i4>
      </vt:variant>
      <vt:variant>
        <vt:i4>48</vt:i4>
      </vt:variant>
      <vt:variant>
        <vt:i4>0</vt:i4>
      </vt:variant>
      <vt:variant>
        <vt:i4>5</vt:i4>
      </vt:variant>
      <vt:variant>
        <vt:lpwstr/>
      </vt:variant>
      <vt:variant>
        <vt:lpwstr>_ENREF_9</vt:lpwstr>
      </vt:variant>
      <vt:variant>
        <vt:i4>4390923</vt:i4>
      </vt:variant>
      <vt:variant>
        <vt:i4>42</vt:i4>
      </vt:variant>
      <vt:variant>
        <vt:i4>0</vt:i4>
      </vt:variant>
      <vt:variant>
        <vt:i4>5</vt:i4>
      </vt:variant>
      <vt:variant>
        <vt:lpwstr/>
      </vt:variant>
      <vt:variant>
        <vt:lpwstr>_ENREF_2</vt:lpwstr>
      </vt:variant>
      <vt:variant>
        <vt:i4>4194315</vt:i4>
      </vt:variant>
      <vt:variant>
        <vt:i4>36</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_ENREF_11</vt:lpwstr>
      </vt:variant>
      <vt:variant>
        <vt:i4>4784139</vt:i4>
      </vt:variant>
      <vt:variant>
        <vt:i4>18</vt:i4>
      </vt:variant>
      <vt:variant>
        <vt:i4>0</vt:i4>
      </vt:variant>
      <vt:variant>
        <vt:i4>5</vt:i4>
      </vt:variant>
      <vt:variant>
        <vt:lpwstr/>
      </vt:variant>
      <vt:variant>
        <vt:lpwstr>_ENREF_8</vt:lpwstr>
      </vt:variant>
      <vt:variant>
        <vt:i4>4456459</vt:i4>
      </vt:variant>
      <vt:variant>
        <vt:i4>12</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Systems thinking</dc:subject>
  <dc:creator>medit</dc:creator>
  <cp:keywords/>
  <dc:description/>
  <cp:lastModifiedBy>Nicola Paton</cp:lastModifiedBy>
  <cp:revision>5</cp:revision>
  <cp:lastPrinted>2019-02-01T03:53:00Z</cp:lastPrinted>
  <dcterms:created xsi:type="dcterms:W3CDTF">2019-10-21T07:13:00Z</dcterms:created>
  <dcterms:modified xsi:type="dcterms:W3CDTF">2019-10-21T21:36:00Z</dcterms:modified>
</cp:coreProperties>
</file>